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95</w:t>
      </w:r>
      <w:r>
        <w:noBreakHyphen/>
        <w:t>20, CODE OF LAWS OF SOUTH CAROLINA, 1976, RELATING TO PLACES WHERE SMOKING IS PROHIBITED, SO AS TO PROVIDE SMOKING IS PROHIBITED IN RESTAURANTS AND PLACES LICENSED TO SELL ALCOHOLIC BEVERAGES FOR ON</w:t>
      </w:r>
      <w:r>
        <w:noBreakHyphen/>
        <w:t>PREMISES CONSUMPTION; AND TO AMEND SECTION 44</w:t>
      </w:r>
      <w:r>
        <w:noBreakHyphen/>
        <w:t>95</w:t>
      </w:r>
      <w:r>
        <w:noBreakHyphen/>
        <w:t>50, RELATING TO PENALTY FOR VIOLATION OF SMOKING RESTRICTIONS, SO AS TO PROVIDE A CIVIL PENALTY FOR A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95</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44</w:t>
      </w:r>
      <w:r>
        <w:noBreakHyphen/>
        <w:t>95</w:t>
      </w:r>
      <w:r>
        <w:noBreakHyphen/>
        <w:t>20.</w:t>
      </w:r>
      <w:r>
        <w:tab/>
      </w:r>
      <w:r>
        <w:rPr>
          <w:rFonts w:eastAsiaTheme="minorHAnsi"/>
          <w:szCs w:val="22"/>
        </w:rPr>
        <w:t xml:space="preserve">It is unlawful for a person to smoke or possess lighted smoking material </w:t>
      </w:r>
      <w:r>
        <w:rPr>
          <w:rFonts w:eastAsiaTheme="minorHAnsi"/>
          <w:strike/>
          <w:szCs w:val="22"/>
        </w:rPr>
        <w:t>in any form</w:t>
      </w:r>
      <w:r>
        <w:rPr>
          <w:rFonts w:eastAsiaTheme="minorHAnsi"/>
          <w:szCs w:val="22"/>
        </w:rPr>
        <w:t xml:space="preserve"> in the following public indoor areas except where a smoking area is designated as provided for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 xml:space="preserve">public schools and preschools where routine or regular kindergarten, elementary, or secondary educational classes are held including libraries.  Private offices and teacher lounges </w:t>
      </w:r>
      <w:r>
        <w:rPr>
          <w:rFonts w:eastAsiaTheme="minorHAnsi"/>
          <w:strike/>
          <w:szCs w:val="22"/>
        </w:rPr>
        <w:t>which</w:t>
      </w:r>
      <w:r>
        <w:rPr>
          <w:rFonts w:eastAsiaTheme="minorHAnsi"/>
          <w:szCs w:val="22"/>
        </w:rPr>
        <w:t xml:space="preserve">  </w:t>
      </w:r>
      <w:r>
        <w:rPr>
          <w:rFonts w:eastAsiaTheme="minorHAnsi"/>
          <w:szCs w:val="22"/>
          <w:u w:val="single"/>
        </w:rPr>
        <w:t>that</w:t>
      </w:r>
      <w:r>
        <w:rPr>
          <w:rFonts w:eastAsiaTheme="minorHAnsi"/>
          <w:szCs w:val="22"/>
        </w:rPr>
        <w:t xml:space="preserve">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Pr>
          <w:rFonts w:eastAsiaTheme="minorHAnsi"/>
          <w:szCs w:val="22"/>
        </w:rPr>
        <w:noBreakHyphen/>
        <w:t xml:space="preserve">free campus;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 xml:space="preserve">all other indoor facilities providing children’s services to the extent that smoking is prohibited in the facility by federal law and all other child </w:t>
      </w:r>
      <w:r>
        <w:rPr>
          <w:rFonts w:eastAsiaTheme="minorHAnsi"/>
          <w:strike/>
          <w:szCs w:val="22"/>
        </w:rPr>
        <w:t>day care</w:t>
      </w:r>
      <w:r>
        <w:rPr>
          <w:rFonts w:eastAsiaTheme="minorHAnsi"/>
          <w:szCs w:val="22"/>
        </w:rPr>
        <w:t xml:space="preserve"> </w:t>
      </w:r>
      <w:r>
        <w:rPr>
          <w:rFonts w:eastAsiaTheme="minorHAnsi"/>
          <w:szCs w:val="22"/>
          <w:u w:val="single"/>
        </w:rPr>
        <w:t>daycare</w:t>
      </w:r>
      <w:r>
        <w:rPr>
          <w:rFonts w:eastAsiaTheme="minorHAnsi"/>
          <w:szCs w:val="22"/>
        </w:rPr>
        <w:t xml:space="preserve"> facilities, as defined in Section </w:t>
      </w:r>
      <w:r>
        <w:rPr>
          <w:rFonts w:eastAsiaTheme="minorHAnsi"/>
          <w:szCs w:val="22"/>
        </w:rPr>
        <w:lastRenderedPageBreak/>
        <w:t>20</w:t>
      </w:r>
      <w:r>
        <w:rPr>
          <w:rFonts w:eastAsiaTheme="minorHAnsi"/>
          <w:szCs w:val="22"/>
        </w:rPr>
        <w:noBreakHyphen/>
        <w:t>7</w:t>
      </w:r>
      <w:r>
        <w:rPr>
          <w:rFonts w:eastAsiaTheme="minorHAnsi"/>
          <w:szCs w:val="22"/>
        </w:rPr>
        <w:noBreakHyphen/>
        <w:t xml:space="preserve">2700, </w:t>
      </w:r>
      <w:r>
        <w:rPr>
          <w:rFonts w:eastAsiaTheme="minorHAnsi"/>
          <w:strike/>
          <w:szCs w:val="22"/>
        </w:rPr>
        <w:t>which</w:t>
      </w:r>
      <w:r>
        <w:rPr>
          <w:rFonts w:eastAsiaTheme="minorHAnsi"/>
          <w:szCs w:val="22"/>
        </w:rPr>
        <w:t xml:space="preserve"> </w:t>
      </w:r>
      <w:r>
        <w:rPr>
          <w:rFonts w:eastAsiaTheme="minorHAnsi"/>
          <w:szCs w:val="22"/>
          <w:u w:val="single"/>
        </w:rPr>
        <w:t>that</w:t>
      </w:r>
      <w:r>
        <w:rPr>
          <w:rFonts w:eastAsiaTheme="minorHAnsi"/>
          <w:szCs w:val="22"/>
        </w:rPr>
        <w:t xml:space="preserve"> are licensed pursuant to Subarticle 11, Article 13, Chapter 7, of Title 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health care facilities as defined in Section 44</w:t>
      </w:r>
      <w:r>
        <w:rPr>
          <w:rFonts w:eastAsiaTheme="minorHAnsi"/>
          <w:szCs w:val="22"/>
        </w:rPr>
        <w:noBreakHyphen/>
        <w:t>7</w:t>
      </w:r>
      <w:r>
        <w:rPr>
          <w:rFonts w:eastAsiaTheme="minorHAnsi"/>
          <w:szCs w:val="22"/>
        </w:rPr>
        <w:noBreakHyphen/>
        <w:t xml:space="preserve">130, except where smoking areas are designated in employee break areas.  However, nothing in this chapter prohibits or precludes a health care facility from being smoke free;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 xml:space="preserve">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which are leased or operated under the control of the State or any of its political subdivisions, except those buildings or portions of buildings </w:t>
      </w:r>
      <w:r>
        <w:rPr>
          <w:rFonts w:eastAsiaTheme="minorHAnsi"/>
          <w:strike/>
          <w:szCs w:val="22"/>
        </w:rPr>
        <w:t>which</w:t>
      </w:r>
      <w:r>
        <w:rPr>
          <w:rFonts w:eastAsiaTheme="minorHAnsi"/>
          <w:szCs w:val="22"/>
        </w:rPr>
        <w:t xml:space="preserve"> </w:t>
      </w:r>
      <w:r>
        <w:rPr>
          <w:rFonts w:eastAsiaTheme="minorHAnsi"/>
          <w:szCs w:val="22"/>
          <w:u w:val="single"/>
        </w:rPr>
        <w:t>that</w:t>
      </w:r>
      <w:r>
        <w:rPr>
          <w:rFonts w:eastAsiaTheme="minorHAnsi"/>
          <w:szCs w:val="22"/>
        </w:rPr>
        <w:t xml:space="preserve"> are leased to other organizations or corporations;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 xml:space="preserve">elevators;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(6)</w:t>
      </w:r>
      <w:r>
        <w:rPr>
          <w:rFonts w:eastAsiaTheme="minorHAnsi"/>
          <w:szCs w:val="22"/>
        </w:rPr>
        <w:tab/>
        <w:t xml:space="preserve">public transportation vehicles, except for taxicabs;  </w:t>
      </w:r>
      <w:r>
        <w:rPr>
          <w:rFonts w:eastAsiaTheme="minorHAnsi"/>
          <w:strike/>
          <w:szCs w:val="22"/>
        </w:rPr>
        <w:t>and</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(7)</w:t>
      </w:r>
      <w:r>
        <w:rPr>
          <w:rFonts w:eastAsiaTheme="minorHAnsi"/>
          <w:szCs w:val="22"/>
        </w:rPr>
        <w:tab/>
        <w:t>arenas and auditoriums of public theaters or public performing art centers.  However, smoking areas may be designated in foyers, lobbies, or other common areas, and smoking is permitted as part of a legitimate theatrical performance</w:t>
      </w:r>
      <w:r>
        <w:rPr>
          <w:rFonts w:eastAsiaTheme="minorHAnsi"/>
          <w:szCs w:val="22"/>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(8)</w:t>
      </w:r>
      <w:r>
        <w:rPr>
          <w:rFonts w:eastAsiaTheme="minorHAnsi"/>
          <w:szCs w:val="22"/>
        </w:rPr>
        <w:tab/>
      </w:r>
      <w:r>
        <w:rPr>
          <w:rFonts w:eastAsiaTheme="minorHAnsi"/>
          <w:szCs w:val="22"/>
          <w:u w:val="single"/>
        </w:rPr>
        <w:t>restaurants and places licensed to sell alcoholic beverages for on</w:t>
      </w:r>
      <w:r>
        <w:rPr>
          <w:rFonts w:eastAsiaTheme="minorHAnsi"/>
          <w:szCs w:val="22"/>
          <w:u w:val="single"/>
        </w:rPr>
        <w:noBreakHyphen/>
        <w:t>premises consumption</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44</w:t>
      </w:r>
      <w:r>
        <w:rPr>
          <w:rFonts w:eastAsiaTheme="minorHAnsi"/>
          <w:szCs w:val="22"/>
        </w:rPr>
        <w:noBreakHyphen/>
        <w:t>95</w:t>
      </w:r>
      <w:r>
        <w:rPr>
          <w:rFonts w:eastAsiaTheme="minorHAnsi"/>
          <w:szCs w:val="22"/>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44</w:t>
      </w:r>
      <w:r>
        <w:rPr>
          <w:rFonts w:eastAsiaTheme="minorHAnsi"/>
          <w:szCs w:val="22"/>
        </w:rPr>
        <w:noBreakHyphen/>
        <w:t>95</w:t>
      </w:r>
      <w:r>
        <w:rPr>
          <w:rFonts w:eastAsiaTheme="minorHAnsi"/>
          <w:szCs w:val="22"/>
        </w:rPr>
        <w:noBreakHyphen/>
        <w:t>50.</w:t>
      </w:r>
      <w:r>
        <w:rPr>
          <w:rFonts w:eastAsiaTheme="minorHAnsi"/>
          <w:szCs w:val="22"/>
        </w:rPr>
        <w:tab/>
      </w:r>
      <w:r>
        <w:rPr>
          <w:rFonts w:eastAsiaTheme="minorHAnsi"/>
          <w:szCs w:val="22"/>
        </w:rPr>
        <w:tab/>
      </w:r>
      <w:r>
        <w:rPr>
          <w:rFonts w:eastAsiaTheme="minorHAnsi"/>
          <w:szCs w:val="22"/>
          <w:u w:val="single"/>
        </w:rPr>
        <w:t>(A)</w:t>
      </w:r>
      <w:r>
        <w:rPr>
          <w:rFonts w:eastAsiaTheme="minorHAnsi"/>
          <w:szCs w:val="22"/>
        </w:rPr>
        <w:tab/>
        <w:t>A person who violates Section 44</w:t>
      </w:r>
      <w:r>
        <w:rPr>
          <w:rFonts w:eastAsiaTheme="minorHAnsi"/>
          <w:szCs w:val="22"/>
        </w:rPr>
        <w:noBreakHyphen/>
        <w:t>95</w:t>
      </w:r>
      <w:r>
        <w:rPr>
          <w:rFonts w:eastAsiaTheme="minorHAnsi"/>
          <w:szCs w:val="22"/>
        </w:rPr>
        <w:noBreakHyphen/>
        <w:t xml:space="preserve">20 </w:t>
      </w:r>
      <w:r>
        <w:rPr>
          <w:rFonts w:eastAsiaTheme="minorHAnsi"/>
          <w:szCs w:val="22"/>
          <w:u w:val="single"/>
        </w:rPr>
        <w:t>(1) through (7)</w:t>
      </w:r>
      <w:r>
        <w:rPr>
          <w:rFonts w:eastAsiaTheme="minorHAnsi"/>
          <w:szCs w:val="22"/>
        </w:rPr>
        <w:t>, 44</w:t>
      </w:r>
      <w:r>
        <w:rPr>
          <w:rFonts w:eastAsiaTheme="minorHAnsi"/>
          <w:szCs w:val="22"/>
        </w:rPr>
        <w:noBreakHyphen/>
        <w:t>95</w:t>
      </w:r>
      <w:r>
        <w:rPr>
          <w:rFonts w:eastAsiaTheme="minorHAnsi"/>
          <w:szCs w:val="22"/>
        </w:rPr>
        <w:noBreakHyphen/>
        <w:t>30</w:t>
      </w:r>
      <w:r>
        <w:rPr>
          <w:rFonts w:eastAsiaTheme="minorHAnsi"/>
          <w:szCs w:val="22"/>
          <w:u w:val="single"/>
        </w:rPr>
        <w:t>,</w:t>
      </w:r>
      <w:r>
        <w:rPr>
          <w:rFonts w:eastAsiaTheme="minorHAnsi"/>
          <w:szCs w:val="22"/>
        </w:rPr>
        <w:t xml:space="preserve"> or 44</w:t>
      </w:r>
      <w:r>
        <w:rPr>
          <w:rFonts w:eastAsiaTheme="minorHAnsi"/>
          <w:szCs w:val="22"/>
        </w:rPr>
        <w:noBreakHyphen/>
        <w:t>95</w:t>
      </w:r>
      <w:r>
        <w:rPr>
          <w:rFonts w:eastAsiaTheme="minorHAnsi"/>
          <w:szCs w:val="22"/>
        </w:rPr>
        <w:noBreakHyphen/>
        <w:t>40 of this chapter is guilty of a misdemeanor and, upon conviction, must be fined not less than ten dollars nor more than twenty</w:t>
      </w:r>
      <w:r>
        <w:rPr>
          <w:rFonts w:eastAsiaTheme="minorHAnsi"/>
          <w:szCs w:val="22"/>
        </w:rPr>
        <w:noBreakHyphen/>
        <w:t xml:space="preserve">five dollars.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(B)</w:t>
      </w:r>
      <w:r>
        <w:rPr>
          <w:rFonts w:eastAsiaTheme="minorHAnsi"/>
          <w:szCs w:val="22"/>
        </w:rPr>
        <w:tab/>
      </w:r>
      <w:r>
        <w:rPr>
          <w:rFonts w:eastAsiaTheme="minorHAnsi"/>
          <w:szCs w:val="22"/>
          <w:u w:val="single"/>
        </w:rPr>
        <w:t>A person who violates Section 44</w:t>
      </w:r>
      <w:r>
        <w:rPr>
          <w:rFonts w:eastAsiaTheme="minorHAnsi"/>
          <w:szCs w:val="22"/>
          <w:u w:val="single"/>
        </w:rPr>
        <w:noBreakHyphen/>
        <w:t>95</w:t>
      </w:r>
      <w:r>
        <w:rPr>
          <w:rFonts w:eastAsiaTheme="minorHAnsi"/>
          <w:szCs w:val="22"/>
          <w:u w:val="single"/>
        </w:rPr>
        <w:noBreakHyphen/>
        <w:t>20(8) only may be subject to a civil fine of twenty</w:t>
      </w:r>
      <w:r>
        <w:rPr>
          <w:rFonts w:eastAsiaTheme="minorHAnsi"/>
          <w:szCs w:val="22"/>
          <w:u w:val="single"/>
        </w:rPr>
        <w:noBreakHyphen/>
        <w:t>five dollars.</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rPr>
          <w:rFonts w:eastAsiaTheme="minorHAnsi"/>
          <w:szCs w:val="22"/>
        </w:rP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bill,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5.</w:t>
      </w:r>
      <w:r>
        <w:rPr>
          <w:rFonts w:eastAsiaTheme="minorHAnsi"/>
          <w:szCs w:val="22"/>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2FFD04-75F3-451D-866E-8AD09D01F32D}"/>
    <w:embedBold r:id="rId2" w:fontKey="{DB376F8F-96FB-4FC5-B8D3-E328822965BB}"/>
  </w:font>
  <w:font w:name="Calibri">
    <w:panose1 w:val="020F0502020204030204"/>
    <w:charset w:val="00"/>
    <w:family w:val="swiss"/>
    <w:pitch w:val="variable"/>
    <w:sig w:usb0="A00002EF" w:usb1="4000207B" w:usb2="00000000" w:usb3="00000000" w:csb0="0000009F" w:csb1="00000000"/>
    <w:embedRegular r:id="rId3" w:fontKey="{F98F1D86-FD10-463B-AFE9-EF995E7703D7}"/>
  </w:font>
  <w:font w:name="Tahoma">
    <w:panose1 w:val="020B0604030504040204"/>
    <w:charset w:val="00"/>
    <w:family w:val="swiss"/>
    <w:pitch w:val="variable"/>
    <w:sig w:usb0="61002A87" w:usb1="80000000" w:usb2="00000008" w:usb3="00000000" w:csb0="000101FF" w:csb1="00000000"/>
    <w:embedRegular r:id="rId4" w:fontKey="{64A5C7C7-9890-49C0-8579-6D741DD92B94}"/>
  </w:font>
  <w:font w:name="Cambria">
    <w:panose1 w:val="02040503050406030204"/>
    <w:charset w:val="00"/>
    <w:family w:val="roman"/>
    <w:pitch w:val="variable"/>
    <w:sig w:usb0="A00002EF" w:usb1="4000004B" w:usb2="00000000" w:usb3="00000000" w:csb0="0000009F" w:csb1="00000000"/>
    <w:embedRegular r:id="rId5" w:fontKey="{FCD46FB3-EA54-4FCA-8924-E0D181412B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[3091]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68AB09"/>
    <w:docVar w:name="CoverBillType" w:val="b"/>
    <w:docVar w:name="docpath" w:val="L:\Council\bills\GGS\22168AB09.DOCX"/>
    <w:docVar w:name="dvBillNumber" w:val="3091"/>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728</Words>
  <Characters>4152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2008-12-09T15:09:00Z</cp:lastPrinted>
  <dcterms:created xsi:type="dcterms:W3CDTF">2008-12-09T22:06:00Z</dcterms:created>
  <dcterms:modified xsi:type="dcterms:W3CDTF">2008-12-09T22:06:00Z</dcterms:modified>
</cp:coreProperties>
</file>