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660(A) of the 1976 Code, as last amended by Act 279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“(A)</w:t>
      </w:r>
      <w:r>
        <w:tab/>
        <w:t>There is created within the Administrative Law Court the</w:t>
      </w:r>
      <w:r>
        <w:rPr>
          <w:szCs w:val="22"/>
        </w:rPr>
        <w:t xml:space="preserve"> Office of Motor Vehicle Hearings.  The chief judge of the Administrative Law Court shall serve as the director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Pr>
          <w:strike/>
          <w:szCs w:val="22"/>
        </w:rPr>
        <w:t>shall</w:t>
      </w:r>
      <w:r>
        <w:rPr>
          <w:szCs w:val="22"/>
          <w:u w:val="single"/>
        </w:rPr>
        <w:t>must</w:t>
      </w:r>
      <w:r>
        <w:rPr>
          <w:szCs w:val="22"/>
        </w:rPr>
        <w:t xml:space="preserve"> be appointed, hired, contracted, and supervised by the chief judge of the court and shall continue to exercise their adjudicatory functions, duties, and </w:t>
      </w:r>
      <w:r>
        <w:rPr>
          <w:szCs w:val="22"/>
        </w:rPr>
        <w:lastRenderedPageBreak/>
        <w:t xml:space="preserve">responsibilities under the auspices of the Administrative Law Court as directed by the chief judge and shall perform such other functions and duties as the chief judge of the court prescribes.  </w:t>
      </w:r>
      <w:r>
        <w:rPr>
          <w:szCs w:val="22"/>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Pr>
          <w:szCs w:val="22"/>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Section 56</w:t>
      </w:r>
      <w:r>
        <w:rPr>
          <w:szCs w:val="22"/>
        </w:rPr>
        <w:noBreakHyphen/>
        <w:t>5</w:t>
      </w:r>
      <w:r>
        <w:rPr>
          <w:szCs w:val="22"/>
        </w:rPr>
        <w:noBreakHyphen/>
        <w:t>2952 of the 1976 Code, as last amended by Act 279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w:t>
      </w:r>
      <w:r>
        <w:rPr>
          <w:szCs w:val="22"/>
        </w:rPr>
        <w:t>ection 56</w:t>
      </w:r>
      <w:r>
        <w:rPr>
          <w:szCs w:val="22"/>
        </w:rPr>
        <w:noBreakHyphen/>
        <w:t>5</w:t>
      </w:r>
      <w:r>
        <w:rPr>
          <w:szCs w:val="22"/>
        </w:rPr>
        <w:noBreakHyphen/>
        <w:t>2952.</w:t>
      </w:r>
      <w:r>
        <w:rPr>
          <w:szCs w:val="22"/>
        </w:rPr>
        <w:tab/>
      </w:r>
      <w:r>
        <w:rPr>
          <w:szCs w:val="22"/>
        </w:rPr>
        <w:tab/>
        <w:t xml:space="preserve">The filing fee to request </w:t>
      </w:r>
      <w:r>
        <w:rPr>
          <w:strike/>
          <w:szCs w:val="22"/>
        </w:rPr>
        <w:t>any</w:t>
      </w:r>
      <w:r>
        <w:rPr>
          <w:szCs w:val="22"/>
          <w:u w:val="single"/>
        </w:rPr>
        <w:t>a</w:t>
      </w:r>
      <w:r>
        <w:rPr>
          <w:szCs w:val="22"/>
        </w:rPr>
        <w:t xml:space="preserve"> contested case hearing before the Office of Motor Vehicle Hearings of the Administrative Law Court is </w:t>
      </w:r>
      <w:r>
        <w:rPr>
          <w:strike/>
          <w:szCs w:val="22"/>
        </w:rPr>
        <w:t>one</w:t>
      </w:r>
      <w:r>
        <w:rPr>
          <w:szCs w:val="22"/>
          <w:u w:val="single"/>
        </w:rPr>
        <w:t>two</w:t>
      </w:r>
      <w:r>
        <w:rPr>
          <w:szCs w:val="22"/>
        </w:rPr>
        <w:t xml:space="preserve"> hundred fifty dollars, or as otherwise prescribed by the rules of procedure for the </w:t>
      </w:r>
      <w:r>
        <w:rPr>
          <w:strike/>
          <w:szCs w:val="22"/>
        </w:rPr>
        <w:t>Administrative Law Court</w:t>
      </w:r>
      <w:r>
        <w:rPr>
          <w:szCs w:val="22"/>
          <w:u w:val="single"/>
        </w:rPr>
        <w:t>Office of the Motor Vehicle Hearings</w:t>
      </w:r>
      <w:r>
        <w:rPr>
          <w:szCs w:val="22"/>
        </w:rPr>
        <w:t xml:space="preserve">.  Funds generated from the collection of this fee </w:t>
      </w:r>
      <w:r>
        <w:rPr>
          <w:strike/>
          <w:szCs w:val="22"/>
        </w:rPr>
        <w:t>shall</w:t>
      </w:r>
      <w:r>
        <w:rPr>
          <w:szCs w:val="22"/>
          <w:u w:val="single"/>
        </w:rPr>
        <w:t>must</w:t>
      </w:r>
      <w:r>
        <w:rPr>
          <w:szCs w:val="22"/>
        </w:rPr>
        <w:t xml:space="preserve"> be retained by the Administrative Law Court</w:t>
      </w:r>
      <w:r>
        <w:rPr>
          <w:szCs w:val="22"/>
          <w:u w:val="single"/>
        </w:rPr>
        <w:t>, provided, however, that these funds first must be used to meet the expenses of the Office of Motor Vehicle Hearings, including the salaries of its employees, as directed by the chief judge of the Administrative Law Court</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szCs w:val="22"/>
        </w:rPr>
        <w:lastRenderedPageBreak/>
        <w:t>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2C40B6-093D-4927-A37F-FDE2718DCEE6}"/>
    <w:embedBold r:id="rId2" w:fontKey="{8155D872-A758-43B5-820B-CFB424F18F84}"/>
  </w:font>
  <w:font w:name="Calibri">
    <w:panose1 w:val="020F0502020204030204"/>
    <w:charset w:val="00"/>
    <w:family w:val="swiss"/>
    <w:pitch w:val="variable"/>
    <w:sig w:usb0="A00002EF" w:usb1="4000207B" w:usb2="00000000" w:usb3="00000000" w:csb0="0000009F" w:csb1="00000000"/>
    <w:embedRegular r:id="rId3" w:fontKey="{8249F8B2-15B0-4206-9982-5AA3CAAD64E1}"/>
  </w:font>
  <w:font w:name="Cambria">
    <w:panose1 w:val="02040503050406030204"/>
    <w:charset w:val="00"/>
    <w:family w:val="roman"/>
    <w:pitch w:val="variable"/>
    <w:sig w:usb0="A00002EF" w:usb1="4000004B" w:usb2="00000000" w:usb3="00000000" w:csb0="0000009F" w:csb1="00000000"/>
    <w:embedRegular r:id="rId4" w:fontKey="{DFD56D71-7D58-40CD-ADC8-C468124C05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4AHB09"/>
    <w:docVar w:name="CoverBillType" w:val="b"/>
    <w:docVar w:name="docpath" w:val="L:\Council\bills\MS\7084AHB09.DOCX"/>
    <w:docVar w:name="dvBillNumber" w:val="316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2008-12-11T17:44:00Z</cp:lastPrinted>
  <dcterms:created xsi:type="dcterms:W3CDTF">2008-12-16T23:12:00Z</dcterms:created>
  <dcterms:modified xsi:type="dcterms:W3CDTF">2008-12-16T23:12:00Z</dcterms:modified>
</cp:coreProperties>
</file>