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 AND TO REMOVE THE LIMIT ON THE AMOUNT OF ATTORNEY FEES THAT A COURT MAY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If an employee is dismissed, suspended from employment, demoted, or receives a decrease in compensation, within one year after having timely reported an alleged wrongdoing under this chapter, the employee may institute a nonjury civil action against the employing public body for (1) reinstatement to his former position; (2) lost wages; (3) actual damages not to exceed </w:t>
      </w:r>
      <w:r>
        <w:rPr>
          <w:strike/>
        </w:rPr>
        <w:t>fifteen</w:t>
      </w:r>
      <w:r>
        <w:t xml:space="preserve"> </w:t>
      </w:r>
      <w:r>
        <w:rPr>
          <w:u w:val="single"/>
        </w:rPr>
        <w:t>three hundred</w:t>
      </w:r>
      <w:r>
        <w:t xml:space="preserve"> thousand dollars; and (4) reasonable attorney fees as determined by the court</w:t>
      </w:r>
      <w:r>
        <w:rPr>
          <w:strike/>
        </w:rPr>
        <w:t>, but this award of attorney fees may not exceed ten thousand dollars for any trial and five thousand dollars for any appeal</w:t>
      </w:r>
      <w:r>
        <w:t xml:space="preserve">.  The action must be brought in the court of common pleas of the county in which the employment action occurred.  </w:t>
      </w:r>
      <w:r>
        <w:rPr>
          <w:strike/>
        </w:rPr>
        <w:t>No</w:t>
      </w:r>
      <w:r>
        <w:t xml:space="preserve"> </w:t>
      </w:r>
      <w:r>
        <w:rPr>
          <w:u w:val="single"/>
        </w:rPr>
        <w:t>An</w:t>
      </w:r>
      <w:r>
        <w:t xml:space="preserve"> action may </w:t>
      </w:r>
      <w:r>
        <w:rPr>
          <w:u w:val="single"/>
        </w:rPr>
        <w:t>no</w:t>
      </w:r>
      <w:r>
        <w:t xml:space="preserve">t be brought under this chapter unless (1) the employee has exhausted all available grievance or other administrative remedies; and (2) any previous proceedings </w:t>
      </w:r>
      <w:r>
        <w:lastRenderedPageBreak/>
        <w:t xml:space="preserve">have resulted in a finding that the employee would not have been disciplined but for the reporting of alleged wrongdoing.”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2FE94-2AF7-4198-B9C7-F4C41BFD584E}"/>
    <w:embedBold r:id="rId2" w:fontKey="{84C7D8D0-5E32-4CA3-BDC8-D4D73D50634B}"/>
  </w:font>
  <w:font w:name="Calibri">
    <w:panose1 w:val="020F0502020204030204"/>
    <w:charset w:val="00"/>
    <w:family w:val="swiss"/>
    <w:pitch w:val="variable"/>
    <w:sig w:usb0="A00002EF" w:usb1="4000207B" w:usb2="00000000" w:usb3="00000000" w:csb0="0000009F" w:csb1="00000000"/>
    <w:embedRegular r:id="rId3" w:fontKey="{99A158E2-010E-48C9-ABF7-73C7F6B72ADC}"/>
  </w:font>
  <w:font w:name="Cambria">
    <w:panose1 w:val="02040503050406030204"/>
    <w:charset w:val="00"/>
    <w:family w:val="roman"/>
    <w:pitch w:val="variable"/>
    <w:sig w:usb0="A00002EF" w:usb1="4000004B" w:usb2="00000000" w:usb3="00000000" w:csb0="0000009F" w:csb1="00000000"/>
    <w:embedRegular r:id="rId4" w:fontKey="{81E6F705-400B-48A3-BEB2-23A35224FE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4ZW09"/>
    <w:docVar w:name="CoverBillType" w:val="b"/>
    <w:docVar w:name="docpath" w:val="L:\Council\bills\MS\7994ZW09.DOCX"/>
    <w:docVar w:name="dvBillNumber" w:val="317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1490</Characters>
  <Application>Microsoft Office Word</Application>
  <DocSecurity>0</DocSecurity>
  <Lines>12</Lines>
  <Paragraphs>3</Paragraphs>
  <ScaleCrop>false</ScaleCrop>
  <Company> </Company>
  <LinksUpToDate>false</LinksUpToDate>
  <CharactersWithSpaces>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2008-12-12T17:00:00Z</cp:lastPrinted>
  <dcterms:created xsi:type="dcterms:W3CDTF">2008-12-16T23:15:00Z</dcterms:created>
  <dcterms:modified xsi:type="dcterms:W3CDTF">2008-12-16T23:15:00Z</dcterms:modified>
</cp:coreProperties>
</file>