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 AND TO REQUIRE THE FIFTEEN PERCENT LIMIT ON INCREASES IN VALUE TO BE CALCULATED SEPARATELY ON LAND AND IMPROVEMENTS; TO AMEND SECTION 12</w:t>
      </w:r>
      <w:r>
        <w:noBreakHyphen/>
        <w:t>37</w:t>
      </w:r>
      <w:r>
        <w:noBreakHyphen/>
        <w:t>3150, AS AMENDED, RELATING TO THE TIME AN ASSESSABLE TRANSFER OF INTEREST OCCURS, SO AS TO REVISE THE PENALTY FOR FAILURE TO PROVIDE NOTICE OR FAILURE TO PROVIDE ACCURATE NOTICE TO THE ASSESSING AUTHORITY OF BUSINESS ENTITY TRANSFERS; TO AMEND SECTION 12</w:t>
      </w:r>
      <w:r>
        <w:noBreakHyphen/>
        <w:t>43</w:t>
      </w:r>
      <w:r>
        <w:noBreakHyphen/>
        <w:t>220, AS AMENDED, RELATING TO THE CLASSIFICATION AND VALUATION OF PROPERTY FOR PURPOSES OF THE PROPERTY TAX, SO AS TO PROVIDE RESIDENTIAL REAL PROPERTY HELD IN TRUST DOES NOT QUALIFY AS A LEGAL RESIDENCE UNLESS A NAMED INDIVIDUAL BENEFICIARY UNDER THE TRUST OCCUPIES THE RESIDENCE AS THAT NAMED BENEFICIARY’S LEGAL RESIDENCE AND THAT INDIVIDUAL BENEFICIARY’S NAME APPEARS ON THE DEED TO THE RESIDENCE AND REQUIRE SOCIAL SECURITY NUMBERS OF APPLICANTS FOR THE LEGAL RESIDENCE ASSESSMENT RATIO; AND TO AMEND SECTION 40</w:t>
      </w:r>
      <w:r>
        <w:noBreakHyphen/>
        <w:t>60</w:t>
      </w:r>
      <w:r>
        <w:noBreakHyphen/>
        <w:t xml:space="preserve">35, RELATING TO CONTINUING </w:t>
      </w:r>
      <w:r>
        <w:lastRenderedPageBreak/>
        <w:t>EDUCATION REQUIREMENTS FOR ASSESSORS, SO AS TO REVISE THE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12</w:t>
      </w:r>
      <w:r>
        <w:noBreakHyphen/>
        <w:t>37</w:t>
      </w:r>
      <w:r>
        <w:noBreakHyphen/>
        <w:t>3140 of the 1976 Code, as last amended by Act 57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37</w:t>
      </w:r>
      <w:r>
        <w:noBreakHyphen/>
        <w:t>3140.</w:t>
      </w:r>
      <w:r>
        <w:tab/>
        <w:t>(A)(1)</w:t>
      </w:r>
      <w:r>
        <w:tab/>
        <w:t xml:space="preserve">For property tax years beginning after 2006, the fair market value of real property is its fair market value applicable for the later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base year, as defined in subsection (C)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u w:val="single"/>
        </w:rPr>
        <w:t>subject to the provisions of item (3) of this subsection,</w:t>
      </w:r>
      <w:r>
        <w:t xml:space="preserve"> December thirty</w:t>
      </w:r>
      <w:r>
        <w:noBreakHyphen/>
        <w:t xml:space="preserve">first of the year in which an assessable transfer of interest has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as determined on appeal;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as it may be adjusted as determined in a countywide reassessment program conducted pursuant to Section 12</w:t>
      </w:r>
      <w:r>
        <w:noBreakHyphen/>
        <w:t>43</w:t>
      </w:r>
      <w:r>
        <w:noBreakHyphen/>
        <w:t xml:space="preserve">217, but limited to increases in such value as provided in subsection (B)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To the fair market value of real property as determined at the time provided in item (1) of this subsection, there must be added the fair market value of subsequent improvements and additions to the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If a parcel of real property which has had no further improvement since the most recent countywide reassessment program was implemented undergoes an assessable transfer of interest, the implementation of the transfer value as determined pursuant to item (1)(b) of this subsection is postponed until the property tax year of implementation of the next countywide assessment program and that transfer value is the value to which the limit on increases in fair market value provided pursuant to subsection (B) of this section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increase in the fair market value of real property attributable to the periodic countywide appraisal and equalization program implemented pursuant to Section 12</w:t>
      </w:r>
      <w:r>
        <w:noBreakHyphen/>
        <w:t>43</w:t>
      </w:r>
      <w:r>
        <w:noBreakHyphen/>
        <w:t xml:space="preserve">217 </w:t>
      </w:r>
      <w:r>
        <w:rPr>
          <w:u w:val="single"/>
        </w:rPr>
        <w:t>or as implemented pursuant to subsection (A)(3) of this section</w:t>
      </w:r>
      <w:r>
        <w:t xml:space="preserve"> is limited to fifteen percent within a five</w:t>
      </w:r>
      <w:r>
        <w:noBreakHyphen/>
        <w:t xml:space="preserve">year period to the otherwise applicable fair market value.  </w:t>
      </w:r>
      <w:r>
        <w:rPr>
          <w:u w:val="single"/>
        </w:rPr>
        <w:t>This limit must be calculated separately on land and improvements.</w:t>
      </w:r>
      <w:r>
        <w:t xml:space="preserve">  However, this limit does not apply to the fair market value of additions or improvements to </w:t>
      </w:r>
      <w:r>
        <w:lastRenderedPageBreak/>
        <w:t xml:space="preserve">real property in the year those additions or improvements are first subject to property tax, nor </w:t>
      </w:r>
      <w:r>
        <w:rPr>
          <w:strike/>
        </w:rPr>
        <w:t>do they</w:t>
      </w:r>
      <w:r>
        <w:t xml:space="preserve"> </w:t>
      </w:r>
      <w:r>
        <w:rPr>
          <w:u w:val="single"/>
        </w:rPr>
        <w:t>does the limit</w:t>
      </w:r>
      <w:r>
        <w:t xml:space="preserve"> apply to the fair market value of real property when an assessable transfer of interest occurred in the year that the transfer value is first subject to tax.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determining a ‘base year’ fair market value pursuant to this section, the fair market value of real property is its appraised value applicable for property tax year 2007.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Real property valued by the unit valuation concept is excluded from the limits provided pursuant to subsection (B)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Value attributable to additions and improvements, and changes in value resulting from assessable transfers of interest occurring in a property tax year are first subject to property tax in the following tax year except as provided pursuant to </w:t>
      </w:r>
      <w:r>
        <w:rPr>
          <w:u w:val="single"/>
        </w:rPr>
        <w:t>subsection (A)(3) of this section and</w:t>
      </w:r>
      <w:r>
        <w:t xml:space="preserve"> Section 12</w:t>
      </w:r>
      <w:r>
        <w:noBreakHyphen/>
        <w:t>37</w:t>
      </w:r>
      <w:r>
        <w:noBreakHyphen/>
        <w:t>670(B).”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3150(A)(8) of the 1976 Code, as added by Act 388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 transfer of an ownership interest in a single transaction or as a part of a series of related transactions within a twenty</w:t>
      </w:r>
      <w: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noBreakHyphen/>
        <w:t>five days after a conveyance of an ownership interest that constitutes an assessable transfer of interest or transfer of ownership under this item</w:t>
      </w:r>
      <w:r>
        <w:rPr>
          <w:u w:val="single"/>
        </w:rPr>
        <w:t>.  Failure to provide this notice or failure to provide accurate information on this notice subjects the property to a civil penalty of not less than one hundred nor more than one thousand dollars as determined by the assessor.  This penalty is enforceable and collectible as property tax and is in addition to any other penalties that may apply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 xml:space="preserve"> Section 12</w:t>
      </w:r>
      <w:r>
        <w:noBreakHyphen/>
        <w:t>43</w:t>
      </w:r>
      <w:r>
        <w:noBreakHyphen/>
        <w:t>220(c) of the 1976 Code, as last amended by Act 145 of 2005, is further amended by adding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Notwithstanding the provisions of subitem (1) of this item, residential real property held in trust does not qualify as a legal residence for purposes of this item unless a named individual beneficiary under the trust occupies the residence as that named beneficiary’s legal residence and that individual beneficiary’s name appears on the deed to the residential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An application for the assessment ratio allowed by this item is not valid unless the application contains the social security number(s) of the owner</w:t>
      </w:r>
      <w:r>
        <w:noBreakHyphen/>
        <w:t>occupant(s) making the application or on whose behalf the application is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Subitems (8) and (9) of Section 12</w:t>
      </w:r>
      <w:r>
        <w:noBreakHyphen/>
        <w:t>43</w:t>
      </w:r>
      <w:r>
        <w:noBreakHyphen/>
        <w:t>220(c) of the 1976 Code, as added by subsection A of this section apply for first applications for the four percent assessment ratio for legal residence made for property tax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60</w:t>
      </w:r>
      <w:r>
        <w:noBreakHyphen/>
        <w:t>35(A)(2) of the 1976 Code, as added by Act 257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For renewal of an active license or certification, assessors and other staff responsible for the assessment of property for ad valorem taxation purposes shall receive </w:t>
      </w:r>
      <w:r>
        <w:rPr>
          <w:strike/>
        </w:rPr>
        <w:t>nine</w:t>
      </w:r>
      <w:r>
        <w:t xml:space="preserve"> </w:t>
      </w:r>
      <w:r>
        <w:rPr>
          <w:u w:val="single"/>
        </w:rPr>
        <w:t>seven</w:t>
      </w:r>
      <w:r>
        <w:t xml:space="preserve"> hours of instruction each year in the laws applicable to assessment for ad valorem taxation, methods of valuing property, administration of the assessor’s office and records of the assessor’s office, and other functions related to the assessor’s office.  This instruction shall be received from the Department of Revenue or other providers or courses approved by the Department of </w:t>
      </w:r>
      <w:r>
        <w:rPr>
          <w:strike/>
        </w:rPr>
        <w:t>Revenue</w:t>
      </w:r>
      <w:r>
        <w:t xml:space="preserve"> </w:t>
      </w:r>
      <w:r>
        <w:rPr>
          <w:u w:val="single"/>
        </w:rPr>
        <w:t>Labor, Licensing and Regulation</w:t>
      </w:r>
      <w:r>
        <w:t xml:space="preserve">.  This instruction shall satisfy </w:t>
      </w:r>
      <w:r>
        <w:rPr>
          <w:strike/>
        </w:rPr>
        <w:t>eighteen</w:t>
      </w:r>
      <w:r>
        <w:t xml:space="preserve"> </w:t>
      </w:r>
      <w:r>
        <w:rPr>
          <w:u w:val="single"/>
        </w:rPr>
        <w:t>fourteen</w:t>
      </w:r>
      <w:r>
        <w:t xml:space="preserve"> of the twenty</w:t>
      </w:r>
      <w:r>
        <w:noBreakHyphen/>
        <w:t>eight classroom hours required for renewal.”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Except as otherwise stated,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318B47-6DA5-4C7E-90B1-BCBD7693AF90}"/>
    <w:embedBold r:id="rId2" w:fontKey="{B36C25EC-79A5-46DC-BA12-BCDD841EF14B}"/>
  </w:font>
  <w:font w:name="Calibri">
    <w:panose1 w:val="020F0502020204030204"/>
    <w:charset w:val="00"/>
    <w:family w:val="swiss"/>
    <w:pitch w:val="variable"/>
    <w:sig w:usb0="A00002EF" w:usb1="4000207B" w:usb2="00000000" w:usb3="00000000" w:csb0="0000009F" w:csb1="00000000"/>
    <w:embedRegular r:id="rId3" w:fontKey="{B7D14773-3AE8-48DD-9E6A-704E71B88A48}"/>
  </w:font>
  <w:font w:name="Cambria">
    <w:panose1 w:val="02040503050406030204"/>
    <w:charset w:val="00"/>
    <w:family w:val="roman"/>
    <w:pitch w:val="variable"/>
    <w:sig w:usb0="A00002EF" w:usb1="4000004B" w:usb2="00000000" w:usb3="00000000" w:csb0="0000009F" w:csb1="00000000"/>
    <w:embedRegular r:id="rId4" w:fontKey="{51FF9484-AAEB-4FD4-A840-37931CDF97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0SD09"/>
    <w:docVar w:name="CoverBillType" w:val="b"/>
    <w:docVar w:name="docpath" w:val="L:\Council\bills\GJK\20050SD09.DOCX"/>
    <w:docVar w:name="dvBillNumber" w:val="327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1151</Words>
  <Characters>6567</Characters>
  <Application>Microsoft Office Word</Application>
  <DocSecurity>0</DocSecurity>
  <Lines>54</Lines>
  <Paragraphs>15</Paragraphs>
  <ScaleCrop>false</ScaleCrop>
  <Company> </Company>
  <LinksUpToDate>false</LinksUpToDate>
  <CharactersWithSpaces>7703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2009-01-14T16:47:00Z</cp:lastPrinted>
  <dcterms:created xsi:type="dcterms:W3CDTF">2009-01-14T20:06:00Z</dcterms:created>
  <dcterms:modified xsi:type="dcterms:W3CDTF">2009-01-14T20:06:00Z</dcterms:modified>
</cp:coreProperties>
</file>