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C3C" w:rsidRDefault="00CE3C3C">
      <w:pPr>
        <w:pStyle w:val="BillDots"/>
      </w:pPr>
      <w:r>
        <w:t>COMMITTEE REPORT</w:t>
      </w:r>
    </w:p>
    <w:p w:rsidR="00CE3C3C" w:rsidRDefault="00CE3C3C">
      <w:pPr>
        <w:pStyle w:val="BillDots"/>
      </w:pPr>
      <w:r>
        <w:t>January 28, 2009</w:t>
      </w:r>
    </w:p>
    <w:p w:rsidR="00CE3C3C" w:rsidRDefault="00CE3C3C">
      <w:pPr>
        <w:pStyle w:val="BillDots"/>
      </w:pPr>
    </w:p>
    <w:p w:rsidR="00CE3C3C" w:rsidRPr="00CE3C3C" w:rsidRDefault="00CE3C3C" w:rsidP="00CE3C3C">
      <w:pPr>
        <w:pStyle w:val="BillDots"/>
        <w:tabs>
          <w:tab w:val="clear" w:pos="216"/>
          <w:tab w:val="clear" w:pos="432"/>
          <w:tab w:val="clear" w:pos="648"/>
          <w:tab w:val="clear" w:pos="864"/>
          <w:tab w:val="clear" w:pos="1080"/>
          <w:tab w:val="clear" w:pos="1296"/>
          <w:tab w:val="clear" w:pos="5904"/>
          <w:tab w:val="right" w:pos="5933"/>
        </w:tabs>
      </w:pPr>
      <w:r>
        <w:tab/>
      </w:r>
      <w:r>
        <w:rPr>
          <w:b/>
          <w:sz w:val="36"/>
        </w:rPr>
        <w:t>H. 3316</w:t>
      </w:r>
    </w:p>
    <w:p w:rsidR="00CE3C3C" w:rsidRDefault="00CE3C3C">
      <w:pPr>
        <w:pStyle w:val="BillDots"/>
      </w:pPr>
    </w:p>
    <w:p w:rsidR="00CE3C3C" w:rsidRDefault="00CE3C3C">
      <w:pPr>
        <w:pStyle w:val="BillDots"/>
      </w:pPr>
      <w:r>
        <w:t>Introduced by Reps. J.R. Smith, T.R. Young, D.C. Smith, Clyburn, Stewart and Spires</w:t>
      </w:r>
    </w:p>
    <w:p w:rsidR="00CE3C3C" w:rsidRDefault="00CE3C3C">
      <w:pPr>
        <w:pStyle w:val="BillDots"/>
      </w:pPr>
    </w:p>
    <w:p w:rsidR="00CE3C3C" w:rsidRDefault="00CE3C3C" w:rsidP="00D3335D">
      <w:pPr>
        <w:pStyle w:val="BillDots"/>
        <w:tabs>
          <w:tab w:val="clear" w:pos="216"/>
          <w:tab w:val="clear" w:pos="432"/>
          <w:tab w:val="clear" w:pos="648"/>
          <w:tab w:val="clear" w:pos="864"/>
          <w:tab w:val="clear" w:pos="1080"/>
          <w:tab w:val="clear" w:pos="1296"/>
          <w:tab w:val="clear" w:pos="5904"/>
          <w:tab w:val="right" w:pos="5933"/>
        </w:tabs>
      </w:pPr>
      <w:r>
        <w:t>L. Printed 1/28/09--H.</w:t>
      </w:r>
      <w:r w:rsidR="00D3335D">
        <w:tab/>
        <w:t>[SEC 1/29/09 3:18 PM]</w:t>
      </w:r>
    </w:p>
    <w:p w:rsidR="00CE3C3C" w:rsidRDefault="00CE3C3C">
      <w:pPr>
        <w:pStyle w:val="BillDots"/>
      </w:pPr>
      <w:r>
        <w:t>Read the first time January 27, 2009.</w:t>
      </w:r>
    </w:p>
    <w:p w:rsidR="00CE3C3C" w:rsidRPr="00CE3C3C" w:rsidRDefault="00CE3C3C" w:rsidP="00CE3C3C">
      <w:pPr>
        <w:pStyle w:val="BillDots"/>
        <w:jc w:val="center"/>
      </w:pPr>
      <w:r>
        <w:rPr>
          <w:u w:val="single"/>
        </w:rPr>
        <w:t>            </w:t>
      </w:r>
    </w:p>
    <w:p w:rsidR="00CE3C3C" w:rsidRDefault="00CE3C3C">
      <w:pPr>
        <w:pStyle w:val="BillDots"/>
      </w:pPr>
    </w:p>
    <w:p w:rsidR="00CE3C3C" w:rsidRPr="00CE3C3C" w:rsidRDefault="00CE3C3C" w:rsidP="00CE3C3C">
      <w:pPr>
        <w:pStyle w:val="BillDots"/>
        <w:jc w:val="center"/>
      </w:pPr>
      <w:r>
        <w:rPr>
          <w:b/>
        </w:rPr>
        <w:t>THE AIKEN DELEGATION</w:t>
      </w:r>
    </w:p>
    <w:p w:rsidR="00CE3C3C" w:rsidRDefault="00CE3C3C">
      <w:pPr>
        <w:pStyle w:val="BillDots"/>
      </w:pPr>
      <w:r>
        <w:tab/>
        <w:t>To whom was referred a Bill (H. 3316) to amend the Code of Laws of South Carolina, 1976, by designating Section 59</w:t>
      </w:r>
      <w:r>
        <w:noBreakHyphen/>
        <w:t>53</w:t>
      </w:r>
      <w:r>
        <w:noBreakHyphen/>
        <w:t xml:space="preserve">1610 as </w:t>
      </w:r>
      <w:r w:rsidR="00D3335D">
        <w:t>s</w:t>
      </w:r>
      <w:r>
        <w:t xml:space="preserve">ubarticle 1 and entitled “General Provisions”; and by adding </w:t>
      </w:r>
      <w:r w:rsidR="00D3335D">
        <w:t>s</w:t>
      </w:r>
      <w:r>
        <w:t>ubarticle 2, etc., respectfully</w:t>
      </w:r>
    </w:p>
    <w:p w:rsidR="00CE3C3C" w:rsidRPr="00CE3C3C" w:rsidRDefault="00CE3C3C" w:rsidP="00CE3C3C">
      <w:pPr>
        <w:pStyle w:val="BillDots"/>
        <w:jc w:val="center"/>
      </w:pPr>
      <w:r>
        <w:rPr>
          <w:b/>
        </w:rPr>
        <w:t>REPORT:</w:t>
      </w:r>
    </w:p>
    <w:p w:rsidR="00CE3C3C" w:rsidRDefault="00CE3C3C">
      <w:pPr>
        <w:pStyle w:val="BillDots"/>
      </w:pPr>
      <w:r>
        <w:tab/>
        <w:t>That they have duly and carefully considered the same and recommend that the same do pass:</w:t>
      </w:r>
    </w:p>
    <w:p w:rsidR="00CE3C3C" w:rsidRDefault="00CE3C3C">
      <w:pPr>
        <w:pStyle w:val="BillDots"/>
      </w:pPr>
    </w:p>
    <w:p w:rsidR="00CE3C3C" w:rsidRDefault="00CE3C3C">
      <w:pPr>
        <w:pStyle w:val="BillDots"/>
      </w:pPr>
      <w:r>
        <w:t>J. ROLAND SMITH for Committee.</w:t>
      </w:r>
    </w:p>
    <w:p w:rsidR="00CE3C3C" w:rsidRPr="00CE3C3C" w:rsidRDefault="00CE3C3C" w:rsidP="00CE3C3C">
      <w:pPr>
        <w:pStyle w:val="BillDots"/>
        <w:jc w:val="center"/>
      </w:pPr>
      <w:r>
        <w:rPr>
          <w:u w:val="single"/>
        </w:rPr>
        <w:t>            </w:t>
      </w:r>
    </w:p>
    <w:p w:rsidR="00CE3C3C" w:rsidRDefault="00CE3C3C">
      <w:pPr>
        <w:pStyle w:val="BillDots"/>
        <w:sectPr w:rsidR="00CE3C3C" w:rsidSect="00CE3C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3541" w:rsidRDefault="00ED3541">
      <w:pPr>
        <w:pStyle w:val="BillDots"/>
      </w:pPr>
    </w:p>
    <w:p w:rsidR="00ED3541" w:rsidRDefault="00ED3541">
      <w:pPr>
        <w:pStyle w:val="Numbersforbills"/>
      </w:pP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DESIGNATING SECTION 59</w:t>
      </w:r>
      <w:r>
        <w:noBreakHyphen/>
        <w:t>53</w:t>
      </w:r>
      <w:r>
        <w:noBreakHyphen/>
        <w:t>1610 AS SUBARTICLE 1 AND ENTITLED “GENERAL PROVISIONS”; AND BY ADDING SUBARTICLE 2 TO ARTICLE 19, CHAPTER 53, TITLE 59 SO AS TO PROVIDE FOR THE CREATION OF THE AIKEN TECHNICAL COLLEGE ENTERPRISE CAMPUS AUTHORITY, AND TO PROVIDE FOR ITS POWERS AND DUTIES.</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59</w:t>
      </w:r>
      <w:r>
        <w:noBreakHyphen/>
        <w:t>53</w:t>
      </w:r>
      <w:r>
        <w:noBreakHyphen/>
        <w:t xml:space="preserve">1610, as contained in Article 19, Chapter 53, Title 59 of the 1976 Code is designated as </w:t>
      </w:r>
      <w:r w:rsidR="00D3335D">
        <w:t>s</w:t>
      </w:r>
      <w:r>
        <w:t>ubarticle 1 entitled “General Provisions”.</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19, Chapter 53, Title 59 of the 1976 Code is amended by adding:</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“Subarticle 2</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Aiken Technical College Enterprise Campus Authority Act</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1650.</w:t>
      </w:r>
      <w:r>
        <w:tab/>
        <w:t xml:space="preserve"> </w:t>
      </w:r>
      <w:r>
        <w:rPr>
          <w:color w:val="000000"/>
        </w:rPr>
        <w:t>This subarticle may be cited as the ‘Aiken Technical College Enterprise Campus Authority Act’.</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1655.</w:t>
      </w:r>
      <w:r>
        <w:rPr>
          <w:color w:val="000000"/>
        </w:rPr>
        <w:tab/>
        <w:t xml:space="preserve"> As used in this subarticle, unless the context clearly requires otherwise:</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Aiken Technical College Enterprise Campus Authority.</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t>‘Commission’ means the Aiken Technical College Commission.</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1660.</w:t>
      </w:r>
      <w:r>
        <w:rPr>
          <w:color w:val="000000"/>
        </w:rPr>
        <w:tab/>
        <w:t xml:space="preserve"> (A)</w:t>
      </w:r>
      <w:r>
        <w:rPr>
          <w:color w:val="000000"/>
        </w:rPr>
        <w:tab/>
        <w:t>There is created a body politic and corporate known as the Aiken Technical College Enterprise Campus Authority.  The authority is declared to be a public instrumentality of the State and the exercise by it of any power conferred in this subarticle is the performance of an essential public function.  The authority is governed by a board, which consists of members of the commission.  All members serve ex officio.  Persons serving as chairman, vice</w:t>
      </w:r>
      <w:r>
        <w:rPr>
          <w:color w:val="000000"/>
        </w:rPr>
        <w:noBreakHyphen/>
        <w:t>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t>The board shall exercise the powers of the authority.</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t>The purpose of the authority is to provide for the management, development, and operation of the Enterprise Campus.</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1665.</w:t>
      </w:r>
      <w:r>
        <w:rPr>
          <w:color w:val="000000"/>
        </w:rPr>
        <w:tab/>
        <w:t xml:space="preserve"> (A)</w:t>
      </w:r>
      <w:r>
        <w:rPr>
          <w:color w:val="000000"/>
        </w:rPr>
        <w:tab/>
        <w:t>In addition to the powers contained elsewhere in this subarticle, the board has power necessary, useful, or appropriate to operate and administer the authority, to effectuate the purposes of the authority, and to perform its other functions including, but not limited to, the power to:</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subarticle for the administration of the authority’s affairs and the implementation of its functions;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receive, accept, and expend from any source including any federal, state, or other public agency and any private agency, person, or other entity appropriated funds, donations, loans, grants, aid, or contributions of money, property, labor, or other things of value;</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 xml:space="preserve">determine the character of the Enterprise Campus, and acquire, develop, construct, and provide for the Enterprise Campus, and maintain, repair, operate, and enter into contracts for </w:t>
      </w:r>
      <w:r>
        <w:rPr>
          <w:color w:val="000000"/>
        </w:rPr>
        <w:lastRenderedPageBreak/>
        <w:t>the management, lease, use, or operation of all or any portion of the Enterprise Campus;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not</w:t>
      </w:r>
      <w:r>
        <w:rPr>
          <w:color w:val="000000"/>
        </w:rPr>
        <w:noBreakHyphen/>
        <w:t>for</w:t>
      </w:r>
      <w:r>
        <w:rPr>
          <w:color w:val="000000"/>
        </w:rPr>
        <w:noBreakHyphen/>
        <w:t>profit corporations in accordance with applicable corporate law and with the powers as provided by the applicable corporate law; and</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subarticle.</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subarticle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1670.</w:t>
      </w:r>
      <w:r>
        <w:tab/>
        <w:t>(A)</w:t>
      </w:r>
      <w:r>
        <w:tab/>
        <w:t>The authority must comply with the provisions of Chapter 47 of Title 2; provided, however, only the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unto the authority such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herein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deemed null and void as a matter of public policy.</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 xml:space="preserve">The authority shall adhere to fire, life, and safety codes as required by the Office of State Engineer.  In the leasing of property </w:t>
      </w:r>
      <w:r>
        <w:lastRenderedPageBreak/>
        <w:t>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and the policy must be filed with and approved by the State Budget and Control Board.  The policy must include provisions for audit and recertification.</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1675.</w:t>
      </w:r>
      <w:r>
        <w:tab/>
        <w:t xml:space="preserve"> </w:t>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or other obligations or indebtedness is subject to the approval of them by resolution of the State Budget and Control Board.</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Bonds, notes, or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subarticle.  The bonds, notes, or other obligations or indebtedness of the authority do not constitute an indebtedness of the State within the meaning of any state constitutional or statutory limitation.  A member of the board or a person executing bonds, notes, or other obligations or indebtedness of the authority is not liable personally on the bonds, notes, or other obligations or indebtedness by reason of their issuance or execution.  Each bond, note, or other obligation or indebtedness must contain on its face a statement to the effect that:</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neither the State, the commission, nor any of the state’s political subdivisions, nor the authority is obligated to pay the principal of or interest on the bond or other costs incident to the bond except from the revenue, money, or property of the authority pledged;</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neither the full faith and credit, nor the taxing power of the State, nor any of its political subdivisions, is pledged to the payment of the principal of or interest on the bond, note, or other obligation or indebtedness; and </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t>the authority does not have taxing power.</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1680.</w:t>
      </w:r>
      <w:r>
        <w:tab/>
        <w:t xml:space="preserve"> </w:t>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1685.</w:t>
      </w:r>
      <w:r>
        <w:rPr>
          <w:color w:val="000000"/>
        </w:rPr>
        <w:tab/>
        <w:t xml:space="preserve"> The authority in performing an essential governmental function in the exercise of the powers conferred upon it is not required to pay any taxes or assessments upon any property or upon any of its activities or operations or the income from them, or any taxes or assessments upon any property acquired or used by the authority or upon the income from them.  Any bonds, notes, or other obligations or indebtedness issued by the authority and the income from them is free from taxation and assessment of every kind by the State and by the local governments and other political subdivisions of the State.”</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D3541" w:rsidRDefault="00ED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D3541" w:rsidRDefault="00C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3541" w:rsidRDefault="00ED3541" w:rsidP="005A5F77">
      <w:pPr>
        <w:suppressAutoHyphens/>
      </w:pPr>
    </w:p>
    <w:sectPr w:rsidR="00ED3541" w:rsidSect="00CE3C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541" w:rsidRDefault="00CE3C3C">
      <w:r>
        <w:separator/>
      </w:r>
    </w:p>
  </w:endnote>
  <w:endnote w:type="continuationSeparator" w:id="1">
    <w:p w:rsidR="00ED3541" w:rsidRDefault="00CE3C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2EA6B3-0403-4DD9-9900-578E87E0EF30}"/>
    <w:embedBold r:id="rId2" w:fontKey="{57EFA277-540E-449D-B876-EA6C919844C0}"/>
  </w:font>
  <w:font w:name="Calibri">
    <w:panose1 w:val="020F0502020204030204"/>
    <w:charset w:val="00"/>
    <w:family w:val="swiss"/>
    <w:pitch w:val="variable"/>
    <w:sig w:usb0="A00002EF" w:usb1="4000207B" w:usb2="00000000" w:usb3="00000000" w:csb0="0000009F" w:csb1="00000000"/>
    <w:embedRegular r:id="rId3" w:fontKey="{458E53B6-F9A0-4846-801A-6E64D533745B}"/>
  </w:font>
  <w:font w:name="Cambria">
    <w:panose1 w:val="02040503050406030204"/>
    <w:charset w:val="00"/>
    <w:family w:val="roman"/>
    <w:pitch w:val="variable"/>
    <w:sig w:usb0="A00002EF" w:usb1="4000004B" w:usb2="00000000" w:usb3="00000000" w:csb0="0000009F" w:csb1="00000000"/>
    <w:embedRegular r:id="rId4" w:fontKey="{EA20B734-EAB1-4B78-8062-F4179AD979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541" w:rsidRDefault="00CE3C3C">
    <w:pPr>
      <w:pStyle w:val="Footer"/>
      <w:tabs>
        <w:tab w:val="clear" w:pos="4680"/>
        <w:tab w:val="clear" w:pos="9360"/>
        <w:tab w:val="center" w:pos="2995"/>
      </w:tabs>
      <w:spacing w:before="120"/>
    </w:pPr>
    <w:r>
      <w:t>[3316-</w:t>
    </w:r>
    <w:fldSimple w:instr=" PAGE  \* MERGEFORMAT ">
      <w:r w:rsidR="005A5F7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C3C" w:rsidRDefault="00CE3C3C">
    <w:pPr>
      <w:pStyle w:val="Footer"/>
      <w:tabs>
        <w:tab w:val="clear" w:pos="4680"/>
        <w:tab w:val="clear" w:pos="9360"/>
        <w:tab w:val="center" w:pos="2995"/>
      </w:tabs>
      <w:spacing w:before="120"/>
    </w:pPr>
    <w:r>
      <w:t>[3316]</w:t>
    </w:r>
    <w:r>
      <w:tab/>
    </w:r>
    <w:fldSimple w:instr=" PAGE  \* MERGEFORMAT ">
      <w:r w:rsidR="005A5F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541" w:rsidRDefault="00CE3C3C">
      <w:r>
        <w:separator/>
      </w:r>
    </w:p>
  </w:footnote>
  <w:footnote w:type="continuationSeparator" w:id="1">
    <w:p w:rsidR="00ED3541" w:rsidRDefault="00CE3C3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46BH09"/>
    <w:docVar w:name="CoverBillType" w:val="b"/>
    <w:docVar w:name="docpath" w:val="L:\Council\bills\NBD\11146BH09.DOCX"/>
    <w:docVar w:name="dvBillNumber" w:val="3316"/>
    <w:docVar w:name="dvBillNumberPrefix" w:val="H. "/>
    <w:docVar w:name="dvOriginalBody" w:val="House"/>
    <w:docVar w:name="dvSteno" w:val="NBD"/>
    <w:docVar w:name="NameofBody" w:val="h"/>
    <w:docVar w:name="vgroup2" w:val="Council"/>
  </w:docVars>
  <w:rsids>
    <w:rsidRoot w:val="00ED3541"/>
    <w:rsid w:val="00286BB2"/>
    <w:rsid w:val="005A5F77"/>
    <w:rsid w:val="00CE3C3C"/>
    <w:rsid w:val="00D3335D"/>
    <w:rsid w:val="00ED35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5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35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541"/>
    <w:rPr>
      <w:rFonts w:eastAsia="Times New Roman" w:cs="Times New Roman"/>
      <w:b/>
      <w:sz w:val="30"/>
      <w:szCs w:val="20"/>
    </w:rPr>
  </w:style>
  <w:style w:type="paragraph" w:styleId="Header">
    <w:name w:val="header"/>
    <w:basedOn w:val="Normal"/>
    <w:link w:val="HeaderChar"/>
    <w:uiPriority w:val="99"/>
    <w:semiHidden/>
    <w:unhideWhenUsed/>
    <w:rsid w:val="00ED3541"/>
    <w:pPr>
      <w:tabs>
        <w:tab w:val="center" w:pos="4320"/>
        <w:tab w:val="right" w:pos="8640"/>
      </w:tabs>
    </w:pPr>
  </w:style>
  <w:style w:type="character" w:customStyle="1" w:styleId="HeaderChar">
    <w:name w:val="Header Char"/>
    <w:basedOn w:val="DefaultParagraphFont"/>
    <w:link w:val="Header"/>
    <w:uiPriority w:val="99"/>
    <w:semiHidden/>
    <w:rsid w:val="00ED3541"/>
    <w:rPr>
      <w:rFonts w:eastAsia="Times New Roman" w:cs="Times New Roman"/>
      <w:szCs w:val="20"/>
    </w:rPr>
  </w:style>
  <w:style w:type="paragraph" w:styleId="Footer">
    <w:name w:val="footer"/>
    <w:basedOn w:val="Normal"/>
    <w:link w:val="FooterChar"/>
    <w:uiPriority w:val="99"/>
    <w:unhideWhenUsed/>
    <w:rsid w:val="00ED3541"/>
    <w:pPr>
      <w:tabs>
        <w:tab w:val="center" w:pos="4680"/>
        <w:tab w:val="right" w:pos="9360"/>
      </w:tabs>
    </w:pPr>
  </w:style>
  <w:style w:type="character" w:customStyle="1" w:styleId="FooterChar">
    <w:name w:val="Footer Char"/>
    <w:basedOn w:val="DefaultParagraphFont"/>
    <w:link w:val="Footer"/>
    <w:uiPriority w:val="99"/>
    <w:rsid w:val="00ED3541"/>
    <w:rPr>
      <w:rFonts w:eastAsia="Times New Roman" w:cs="Times New Roman"/>
      <w:szCs w:val="20"/>
    </w:rPr>
  </w:style>
  <w:style w:type="character" w:styleId="PageNumber">
    <w:name w:val="page number"/>
    <w:basedOn w:val="DefaultParagraphFont"/>
    <w:uiPriority w:val="99"/>
    <w:semiHidden/>
    <w:unhideWhenUsed/>
    <w:rsid w:val="00ED3541"/>
  </w:style>
  <w:style w:type="character" w:styleId="LineNumber">
    <w:name w:val="line number"/>
    <w:basedOn w:val="DefaultParagraphFont"/>
    <w:uiPriority w:val="99"/>
    <w:semiHidden/>
    <w:unhideWhenUsed/>
    <w:rsid w:val="00ED3541"/>
  </w:style>
  <w:style w:type="paragraph" w:customStyle="1" w:styleId="BillDots">
    <w:name w:val="Bill Dots"/>
    <w:basedOn w:val="Normal"/>
    <w:qFormat/>
    <w:rsid w:val="00ED35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354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1998</Words>
  <Characters>11389</Characters>
  <Application>Microsoft Office Word</Application>
  <DocSecurity>0</DocSecurity>
  <Lines>94</Lines>
  <Paragraphs>26</Paragraphs>
  <ScaleCrop>false</ScaleCrop>
  <Company> </Company>
  <LinksUpToDate>false</LinksUpToDate>
  <CharactersWithSpaces>13361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2009-01-21T21:41:00Z</cp:lastPrinted>
  <dcterms:created xsi:type="dcterms:W3CDTF">2009-01-29T20:18:00Z</dcterms:created>
  <dcterms:modified xsi:type="dcterms:W3CDTF">2009-01-29T20:18:00Z</dcterms:modified>
</cp:coreProperties>
</file>