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6C3" w:rsidRDefault="002B76C3">
      <w:pPr>
        <w:pStyle w:val="BillDots"/>
      </w:pPr>
      <w:r>
        <w:rPr>
          <w:strike/>
        </w:rPr>
        <w:t>Indicates Matter Stricken</w:t>
      </w:r>
    </w:p>
    <w:p w:rsidR="002B76C3" w:rsidRPr="002B76C3" w:rsidRDefault="002B76C3">
      <w:pPr>
        <w:pStyle w:val="BillDots"/>
      </w:pPr>
      <w:r>
        <w:rPr>
          <w:u w:val="single"/>
        </w:rPr>
        <w:t>Indicates New Matter</w:t>
      </w:r>
    </w:p>
    <w:p w:rsidR="002B76C3" w:rsidRDefault="002B76C3">
      <w:pPr>
        <w:pStyle w:val="BillDots"/>
      </w:pPr>
    </w:p>
    <w:p w:rsidR="002B76C3" w:rsidRDefault="002B76C3">
      <w:pPr>
        <w:pStyle w:val="BillDots"/>
      </w:pPr>
      <w:r>
        <w:t>COMMITTEE REPORT</w:t>
      </w:r>
    </w:p>
    <w:p w:rsidR="002B76C3" w:rsidRDefault="002B76C3">
      <w:pPr>
        <w:pStyle w:val="BillDots"/>
      </w:pPr>
      <w:r>
        <w:t>March 5, 2009</w:t>
      </w:r>
    </w:p>
    <w:p w:rsidR="002B76C3" w:rsidRDefault="002B76C3">
      <w:pPr>
        <w:pStyle w:val="BillDots"/>
      </w:pPr>
    </w:p>
    <w:p w:rsidR="002B76C3" w:rsidRPr="002B76C3" w:rsidRDefault="002B76C3" w:rsidP="002B76C3">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2B76C3" w:rsidRDefault="002B76C3">
      <w:pPr>
        <w:pStyle w:val="BillDots"/>
      </w:pPr>
    </w:p>
    <w:p w:rsidR="002B76C3" w:rsidRDefault="002B76C3" w:rsidP="002B76C3">
      <w:pPr>
        <w:pStyle w:val="BillDots"/>
        <w:jc w:val="center"/>
      </w:pPr>
      <w:r>
        <w:t>Introduced by Senators Cleary and Peeler</w:t>
      </w:r>
    </w:p>
    <w:p w:rsidR="002B76C3" w:rsidRDefault="002B76C3">
      <w:pPr>
        <w:pStyle w:val="BillDots"/>
      </w:pPr>
    </w:p>
    <w:p w:rsidR="002B76C3" w:rsidRDefault="002B76C3">
      <w:pPr>
        <w:pStyle w:val="BillDots"/>
      </w:pPr>
      <w:r>
        <w:t>S. Printed 3/5/09--S.</w:t>
      </w:r>
    </w:p>
    <w:p w:rsidR="002B76C3" w:rsidRDefault="002B76C3">
      <w:pPr>
        <w:pStyle w:val="BillDots"/>
      </w:pPr>
      <w:r>
        <w:t>Read the first time January 28, 2009.</w:t>
      </w:r>
    </w:p>
    <w:p w:rsidR="002B76C3" w:rsidRPr="002B76C3" w:rsidRDefault="002B76C3" w:rsidP="002B76C3">
      <w:pPr>
        <w:pStyle w:val="BillDots"/>
        <w:jc w:val="center"/>
      </w:pPr>
      <w:r>
        <w:rPr>
          <w:u w:val="single"/>
        </w:rPr>
        <w:t>            </w:t>
      </w:r>
    </w:p>
    <w:p w:rsidR="002B76C3" w:rsidRDefault="002B76C3">
      <w:pPr>
        <w:pStyle w:val="BillDots"/>
      </w:pPr>
    </w:p>
    <w:p w:rsidR="002B76C3" w:rsidRPr="002B76C3" w:rsidRDefault="002B76C3" w:rsidP="002B76C3">
      <w:pPr>
        <w:pStyle w:val="BillDots"/>
        <w:jc w:val="center"/>
      </w:pPr>
      <w:r>
        <w:rPr>
          <w:b/>
        </w:rPr>
        <w:t>THE COMMITTEE ON MEDICAL AFFAIRS</w:t>
      </w:r>
    </w:p>
    <w:p w:rsidR="002B76C3" w:rsidRDefault="002B76C3">
      <w:pPr>
        <w:pStyle w:val="BillDots"/>
      </w:pPr>
      <w:r>
        <w:tab/>
        <w:t>To whom was referred a Bill (S. 337) to amend Section 44</w:t>
      </w:r>
      <w:r>
        <w:noBreakHyphen/>
        <w:t>1</w:t>
      </w:r>
      <w:r>
        <w:noBreakHyphen/>
        <w:t>60, Code of Laws of South Carolina, 1976, relating to appeals from Department of Health and Environmental Control decisions giving rise to contested, etc., respectfully</w:t>
      </w:r>
    </w:p>
    <w:p w:rsidR="002B76C3" w:rsidRPr="002B76C3" w:rsidRDefault="002B76C3" w:rsidP="002B76C3">
      <w:pPr>
        <w:pStyle w:val="BillDots"/>
        <w:jc w:val="center"/>
      </w:pPr>
      <w:r>
        <w:rPr>
          <w:b/>
        </w:rPr>
        <w:t>REPORT:</w:t>
      </w:r>
    </w:p>
    <w:p w:rsidR="002B76C3" w:rsidRDefault="002B76C3">
      <w:pPr>
        <w:pStyle w:val="BillDots"/>
      </w:pPr>
      <w:r>
        <w:tab/>
        <w:t>That they have duly and carefully considered the same and recommend that the same do pass with amendment:</w:t>
      </w:r>
    </w:p>
    <w:p w:rsidR="002B76C3" w:rsidRDefault="002B76C3">
      <w:pPr>
        <w:pStyle w:val="BillDots"/>
      </w:pP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Amend the bill as and if amended, page 4, by striking lines 3-9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w:t>
      </w:r>
      <w:r w:rsidRPr="002B76C3">
        <w:rPr>
          <w:snapToGrid w:val="0"/>
        </w:rPr>
        <w:tab/>
      </w:r>
      <w:r w:rsidRPr="002B76C3">
        <w:rPr>
          <w:snapToGrid w:val="0"/>
          <w:u w:val="single"/>
        </w:rPr>
        <w:t>(3)</w:t>
      </w:r>
      <w:r w:rsidRPr="002B76C3">
        <w:rPr>
          <w:snapToGrid w:val="0"/>
        </w:rPr>
        <w:tab/>
      </w:r>
      <w:r w:rsidRPr="002B76C3">
        <w:rPr>
          <w:snapToGrid w:val="0"/>
          <w:u w:val="single"/>
        </w:rPr>
        <w:t>Staff decisions in which a determination is made regarding the applicability of Section 44-7-160 or a request for exemption under Section 44-7-170 are the final agency decision and not subject to appeal.</w:t>
      </w:r>
      <w:r w:rsidRPr="002B76C3">
        <w:rPr>
          <w:snapToGrid w:val="0"/>
        </w:rPr>
        <w:tab/>
      </w:r>
      <w:r w:rsidRPr="002B76C3">
        <w:rPr>
          <w:snapToGrid w:val="0"/>
        </w:rPr>
        <w:tab/>
      </w:r>
      <w:r w:rsidRPr="002B76C3">
        <w:rPr>
          <w:snapToGrid w:val="0"/>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Amend the bill further, page 4, by striking lines 16-21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snapToGrid w:val="0"/>
        </w:rPr>
        <w:tab/>
        <w:t>/</w:t>
      </w:r>
      <w:r w:rsidRPr="002B76C3">
        <w:rPr>
          <w:snapToGrid w:val="0"/>
        </w:rPr>
        <w:tab/>
      </w:r>
      <w:r>
        <w:rPr>
          <w:snapToGrid w:val="0"/>
        </w:rPr>
        <w:t>(</w:t>
      </w:r>
      <w:r w:rsidRPr="002B76C3">
        <w:rPr>
          <w:rFonts w:eastAsiaTheme="minorHAnsi"/>
          <w:szCs w:val="24"/>
        </w:rPr>
        <w:t>F)</w:t>
      </w:r>
      <w:r w:rsidRPr="002B76C3">
        <w:rPr>
          <w:rFonts w:eastAsiaTheme="minorHAnsi"/>
          <w:szCs w:val="24"/>
        </w:rPr>
        <w:tab/>
        <w:t xml:space="preserve">No later than sixty </w:t>
      </w:r>
      <w:r w:rsidRPr="002B76C3">
        <w:rPr>
          <w:rFonts w:eastAsiaTheme="minorHAnsi"/>
          <w:szCs w:val="24"/>
          <w:u w:val="single"/>
        </w:rPr>
        <w:t>calendar</w:t>
      </w:r>
      <w:r w:rsidRPr="002B76C3">
        <w:rPr>
          <w:rFonts w:eastAsiaTheme="minorHAnsi"/>
          <w:szCs w:val="24"/>
        </w:rPr>
        <w:t xml:space="preserve"> days after the date of receipt of a request for final review, a final review conference must be conducted by the board, its designee, or a committee of three members of the board appointed by the chair.  If </w:t>
      </w:r>
      <w:r w:rsidRPr="002B76C3">
        <w:rPr>
          <w:rFonts w:eastAsiaTheme="minorHAnsi"/>
          <w:szCs w:val="24"/>
          <w:u w:val="single"/>
        </w:rPr>
        <w:t>the board declines in writing to schedule a final review conference or if</w:t>
      </w:r>
      <w:r w:rsidRPr="002B76C3">
        <w:rPr>
          <w:rFonts w:eastAsiaTheme="minorHAnsi"/>
          <w:szCs w:val="24"/>
        </w:rPr>
        <w:t xml:space="preserve"> a final review conference is not conducted within sixty </w:t>
      </w:r>
      <w:r w:rsidRPr="002B76C3">
        <w:rPr>
          <w:rFonts w:eastAsiaTheme="minorHAnsi"/>
          <w:szCs w:val="24"/>
          <w:u w:val="single"/>
        </w:rPr>
        <w:t>calendar</w:t>
      </w:r>
      <w:r w:rsidRPr="002B76C3">
        <w:rPr>
          <w:rFonts w:eastAsiaTheme="minorHAnsi"/>
          <w:szCs w:val="24"/>
        </w:rPr>
        <w:t xml:space="preserve"> days, the </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further, page 5, by striking lines 37-38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r>
      <w:r>
        <w:rPr>
          <w:rFonts w:eastAsiaTheme="minorHAnsi"/>
          <w:szCs w:val="24"/>
        </w:rPr>
        <w:t>/</w:t>
      </w:r>
      <w:r>
        <w:rPr>
          <w:rFonts w:eastAsiaTheme="minorHAnsi"/>
          <w:szCs w:val="24"/>
        </w:rPr>
        <w:tab/>
      </w:r>
      <w:r w:rsidRPr="002B76C3">
        <w:rPr>
          <w:rFonts w:eastAsiaTheme="minorHAnsi"/>
          <w:szCs w:val="24"/>
          <w:u w:val="single"/>
        </w:rPr>
        <w:t>(2)</w:t>
      </w:r>
      <w:r w:rsidRPr="002B76C3">
        <w:rPr>
          <w:rFonts w:eastAsiaTheme="minorHAnsi"/>
          <w:szCs w:val="24"/>
        </w:rPr>
        <w:tab/>
      </w:r>
      <w:r w:rsidRPr="002B76C3">
        <w:rPr>
          <w:rFonts w:eastAsiaTheme="minorHAnsi"/>
          <w:szCs w:val="24"/>
          <w:u w:val="single"/>
        </w:rPr>
        <w:t>the sixty calendar day deadline to hold the final review conference lapses and no conference has been held;</w:t>
      </w:r>
      <w:r w:rsidRPr="002B76C3">
        <w:rPr>
          <w:rFonts w:eastAsiaTheme="minorHAnsi"/>
          <w:szCs w:val="24"/>
          <w:u w:val="single"/>
        </w:rPr>
        <w:tab/>
      </w:r>
      <w:r w:rsidRPr="002B76C3">
        <w:rPr>
          <w:rFonts w:eastAsiaTheme="minorHAnsi"/>
          <w:szCs w:val="24"/>
        </w:rPr>
        <w:tab/>
      </w:r>
      <w:r w:rsidRPr="002B76C3">
        <w:rPr>
          <w:rFonts w:eastAsiaTheme="minorHAnsi"/>
          <w:szCs w:val="24"/>
        </w:rPr>
        <w:tab/>
        <w:t>/</w:t>
      </w:r>
    </w:p>
    <w:p w:rsidR="002B76C3" w:rsidRPr="002B76C3" w:rsidRDefault="002B76C3" w:rsidP="005140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lastRenderedPageBreak/>
        <w:tab/>
        <w:t>Amend the bill further, page 6, by striking line 20 and inserting:</w:t>
      </w:r>
    </w:p>
    <w:p w:rsidR="002B76C3" w:rsidRPr="002B76C3" w:rsidRDefault="002B76C3" w:rsidP="005140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B76C3">
        <w:rPr>
          <w:rFonts w:eastAsiaTheme="minorHAnsi"/>
          <w:szCs w:val="24"/>
        </w:rPr>
        <w:tab/>
        <w:t>/</w:t>
      </w:r>
      <w:r w:rsidRPr="002B76C3">
        <w:rPr>
          <w:rFonts w:eastAsiaTheme="minorHAnsi"/>
          <w:szCs w:val="24"/>
        </w:rPr>
        <w:tab/>
      </w:r>
      <w:r w:rsidRPr="002B76C3">
        <w:rPr>
          <w:rFonts w:eastAsiaTheme="minorHAnsi"/>
          <w:szCs w:val="24"/>
        </w:rPr>
        <w:tab/>
      </w:r>
      <w:r w:rsidRPr="002B76C3">
        <w:rPr>
          <w:rFonts w:eastAsiaTheme="minorHAnsi"/>
          <w:strike/>
          <w:szCs w:val="22"/>
        </w:rPr>
        <w:t>methadone treatment facilities, tuberculosis hospitals,</w:t>
      </w:r>
      <w:r w:rsidRPr="002B76C3">
        <w:rPr>
          <w:rFonts w:eastAsiaTheme="minorHAnsi"/>
          <w:szCs w:val="22"/>
        </w:rPr>
        <w:t xml:space="preserve"> nursing </w:t>
      </w:r>
      <w:r w:rsidRPr="002B76C3">
        <w:rPr>
          <w:rFonts w:eastAsiaTheme="minorHAnsi"/>
          <w:szCs w:val="22"/>
        </w:rPr>
        <w:tab/>
      </w:r>
      <w:r w:rsidRPr="002B76C3">
        <w:rPr>
          <w:rFonts w:eastAsiaTheme="minorHAnsi"/>
          <w:szCs w:val="22"/>
        </w:rPr>
        <w:tab/>
        <w:t>/</w:t>
      </w:r>
    </w:p>
    <w:p w:rsidR="002B76C3" w:rsidRPr="002B76C3" w:rsidRDefault="002B76C3" w:rsidP="005140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B76C3">
        <w:rPr>
          <w:rFonts w:eastAsiaTheme="minorHAnsi"/>
          <w:szCs w:val="22"/>
        </w:rPr>
        <w:tab/>
        <w:t>Amend the bill further, page 8, by striking lines 35-42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2"/>
        </w:rPr>
        <w:tab/>
        <w:t>/</w:t>
      </w:r>
      <w:r w:rsidRPr="002B76C3">
        <w:rPr>
          <w:rFonts w:eastAsiaTheme="minorHAnsi"/>
          <w:szCs w:val="22"/>
        </w:rPr>
        <w:tab/>
      </w:r>
      <w:r w:rsidRPr="002B76C3">
        <w:rPr>
          <w:rFonts w:eastAsiaTheme="minorHAnsi"/>
          <w:szCs w:val="22"/>
        </w:rPr>
        <w:tab/>
      </w:r>
      <w:r w:rsidRPr="002B76C3">
        <w:rPr>
          <w:rFonts w:eastAsiaTheme="minorHAnsi"/>
          <w:szCs w:val="24"/>
        </w:rPr>
        <w:t>(4)</w:t>
      </w:r>
      <w:r w:rsidRPr="002B76C3">
        <w:rPr>
          <w:rFonts w:eastAsiaTheme="minorHAnsi"/>
          <w:szCs w:val="24"/>
        </w:rPr>
        <w:tab/>
        <w:t xml:space="preserve">a capital expenditure by or on behalf of a health care facility which is associated with the addition or substantial expansion of a health service for which specific standards or criteria are prescribed in the </w:t>
      </w:r>
      <w:r w:rsidRPr="002B76C3">
        <w:rPr>
          <w:rFonts w:eastAsiaTheme="minorHAnsi"/>
          <w:strike/>
          <w:szCs w:val="24"/>
        </w:rPr>
        <w:t>State</w:t>
      </w:r>
      <w:r w:rsidRPr="002B76C3">
        <w:rPr>
          <w:rFonts w:eastAsiaTheme="minorHAnsi"/>
          <w:szCs w:val="24"/>
        </w:rPr>
        <w:t xml:space="preserve"> </w:t>
      </w:r>
      <w:r w:rsidRPr="002B76C3">
        <w:rPr>
          <w:rFonts w:eastAsiaTheme="minorHAnsi"/>
          <w:szCs w:val="24"/>
          <w:u w:val="single"/>
        </w:rPr>
        <w:t>South Carolina</w:t>
      </w:r>
      <w:r w:rsidRPr="002B76C3">
        <w:rPr>
          <w:rFonts w:eastAsiaTheme="minorHAnsi"/>
          <w:szCs w:val="24"/>
        </w:rPr>
        <w:t xml:space="preserve"> Health Plan; </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r>
      <w:r>
        <w:rPr>
          <w:rFonts w:eastAsiaTheme="minorHAnsi"/>
          <w:szCs w:val="24"/>
        </w:rPr>
        <w:tab/>
      </w:r>
      <w:r w:rsidRPr="002B76C3">
        <w:rPr>
          <w:rFonts w:eastAsiaTheme="minorHAnsi"/>
          <w:szCs w:val="24"/>
        </w:rPr>
        <w:tab/>
        <w:t>(5)</w:t>
      </w:r>
      <w:r w:rsidRPr="002B76C3">
        <w:rPr>
          <w:rFonts w:eastAsiaTheme="minorHAnsi"/>
          <w:szCs w:val="24"/>
        </w:rPr>
        <w:tab/>
        <w:t xml:space="preserve">the offering of a health service by or on behalf of a health care facility which has not been offered by the facility in the preceding twelve months </w:t>
      </w:r>
      <w:r w:rsidRPr="002B76C3">
        <w:rPr>
          <w:rFonts w:eastAsiaTheme="minorHAnsi"/>
          <w:strike/>
          <w:szCs w:val="24"/>
        </w:rPr>
        <w:t xml:space="preserve">and which has an annual operating cost in excess of an amount to be prescribed by </w:t>
      </w:r>
      <w:r w:rsidRPr="002B76C3">
        <w:rPr>
          <w:rFonts w:eastAsiaTheme="minorHAnsi"/>
          <w:szCs w:val="24"/>
        </w:rPr>
        <w:tab/>
        <w:t xml:space="preserve">    /</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further, page 9, by striking lines 20-21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w:t>
      </w:r>
      <w:r w:rsidRPr="002B76C3">
        <w:rPr>
          <w:rFonts w:eastAsiaTheme="minorHAnsi"/>
          <w:szCs w:val="24"/>
        </w:rPr>
        <w:tab/>
      </w:r>
      <w:r w:rsidRPr="002B76C3">
        <w:rPr>
          <w:rFonts w:eastAsiaTheme="minorHAnsi"/>
          <w:szCs w:val="24"/>
        </w:rPr>
        <w:tab/>
      </w:r>
      <w:r w:rsidRPr="002B76C3">
        <w:rPr>
          <w:rFonts w:eastAsiaTheme="minorHAnsi"/>
          <w:szCs w:val="24"/>
          <w:u w:val="single"/>
        </w:rPr>
        <w:t>regardless of its cost.  This item applies to the acquisition of new or used equipment.</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further, page 10, by striking lines 19-24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w:t>
      </w:r>
      <w:r w:rsidRPr="002B76C3">
        <w:rPr>
          <w:rFonts w:eastAsiaTheme="minorHAnsi"/>
          <w:szCs w:val="24"/>
        </w:rPr>
        <w:tab/>
      </w:r>
      <w:r w:rsidRPr="002B76C3">
        <w:rPr>
          <w:rFonts w:eastAsiaTheme="minorHAnsi"/>
          <w:szCs w:val="24"/>
        </w:rPr>
        <w:tab/>
        <w:t>(2)</w:t>
      </w:r>
      <w:r w:rsidRPr="002B76C3">
        <w:rPr>
          <w:rFonts w:eastAsiaTheme="minorHAnsi"/>
          <w:szCs w:val="24"/>
        </w:rPr>
        <w:tab/>
        <w:t>the offices of a licensed private practitioner whether for individual or group practice except as provided for in Section 44</w:t>
      </w:r>
      <w:r w:rsidRPr="002B76C3">
        <w:rPr>
          <w:rFonts w:eastAsiaTheme="minorHAnsi"/>
          <w:szCs w:val="24"/>
        </w:rPr>
        <w:noBreakHyphen/>
        <w:t>7</w:t>
      </w:r>
      <w:r w:rsidRPr="002B76C3">
        <w:rPr>
          <w:rFonts w:eastAsiaTheme="minorHAnsi"/>
          <w:szCs w:val="24"/>
        </w:rPr>
        <w:noBreakHyphen/>
        <w:t xml:space="preserve">160(1) and (6); </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r>
      <w:r>
        <w:rPr>
          <w:rFonts w:eastAsiaTheme="minorHAnsi"/>
          <w:szCs w:val="24"/>
        </w:rPr>
        <w:tab/>
      </w:r>
      <w:r w:rsidRPr="002B76C3">
        <w:rPr>
          <w:rFonts w:eastAsiaTheme="minorHAnsi"/>
          <w:szCs w:val="24"/>
        </w:rPr>
        <w:tab/>
        <w:t>(3)</w:t>
      </w:r>
      <w:r w:rsidRPr="002B76C3">
        <w:rPr>
          <w:rFonts w:eastAsiaTheme="minorHAnsi"/>
          <w:szCs w:val="24"/>
        </w:rPr>
        <w:tab/>
      </w:r>
      <w:r w:rsidRPr="002B76C3">
        <w:rPr>
          <w:rFonts w:eastAsiaTheme="minorHAnsi"/>
          <w:szCs w:val="24"/>
          <w:u w:val="single"/>
        </w:rPr>
        <w:t>the replacement of like equipment for which a certificate of need has been issued which does not constitute a material change in service or a new service</w:t>
      </w:r>
      <w:r w:rsidRPr="002B76C3">
        <w:rPr>
          <w:rFonts w:eastAsiaTheme="minorHAnsi"/>
          <w:strike/>
          <w:szCs w:val="24"/>
        </w:rPr>
        <w:t>the acquisition by a health care facility of medical</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Amend the bill futher, page 12, by striking line 1, and inserting:</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B76C3">
        <w:rPr>
          <w:rFonts w:eastAsiaTheme="minorHAnsi"/>
          <w:szCs w:val="24"/>
        </w:rPr>
        <w:tab/>
        <w:t>/</w:t>
      </w:r>
      <w:r w:rsidRPr="002B76C3">
        <w:rPr>
          <w:rFonts w:eastAsiaTheme="minorHAnsi"/>
          <w:szCs w:val="24"/>
        </w:rPr>
        <w:tab/>
      </w:r>
      <w:r w:rsidRPr="002B76C3">
        <w:rPr>
          <w:rFonts w:eastAsiaTheme="minorHAnsi"/>
          <w:szCs w:val="24"/>
        </w:rPr>
        <w:tab/>
        <w:t>business and insurance, and health care providers</w:t>
      </w:r>
      <w:r w:rsidRPr="002B76C3">
        <w:rPr>
          <w:rFonts w:eastAsiaTheme="minorHAnsi"/>
          <w:szCs w:val="24"/>
          <w:u w:val="single"/>
        </w:rPr>
        <w:t>, including an administrator of a licensed for-profit nursing home</w:t>
      </w:r>
      <w:r w:rsidRPr="002B76C3">
        <w:rPr>
          <w:rFonts w:eastAsiaTheme="minorHAnsi"/>
          <w:szCs w:val="24"/>
        </w:rPr>
        <w:t>.  The chairman</w:t>
      </w:r>
      <w:r w:rsidRPr="002B76C3">
        <w:rPr>
          <w:rFonts w:eastAsiaTheme="minorHAnsi"/>
          <w:szCs w:val="24"/>
        </w:rPr>
        <w:tab/>
      </w:r>
      <w:r w:rsidRPr="002B76C3">
        <w:rPr>
          <w:rFonts w:eastAsiaTheme="minorHAnsi"/>
          <w:szCs w:val="24"/>
        </w:rPr>
        <w:tab/>
      </w:r>
      <w:r w:rsidRPr="002B76C3">
        <w:rPr>
          <w:rFonts w:eastAsiaTheme="minorHAnsi"/>
          <w:szCs w:val="24"/>
        </w:rPr>
        <w:tab/>
        <w:t>/</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Renumber sections to conform.</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6C3">
        <w:rPr>
          <w:snapToGrid w:val="0"/>
        </w:rPr>
        <w:tab/>
        <w:t>Amend title to conform.</w:t>
      </w:r>
    </w:p>
    <w:p w:rsidR="002B76C3" w:rsidRPr="002B76C3" w:rsidRDefault="002B76C3" w:rsidP="002B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76C3" w:rsidRDefault="002B76C3">
      <w:pPr>
        <w:pStyle w:val="BillDots"/>
      </w:pPr>
      <w:r>
        <w:t>HARVEY S. PEELER, JR. for Committee.</w:t>
      </w:r>
    </w:p>
    <w:p w:rsidR="002B76C3" w:rsidRPr="002B76C3" w:rsidRDefault="002B76C3" w:rsidP="002B76C3">
      <w:pPr>
        <w:pStyle w:val="BillDots"/>
        <w:jc w:val="center"/>
      </w:pPr>
      <w:r>
        <w:rPr>
          <w:u w:val="single"/>
        </w:rPr>
        <w:t>            </w:t>
      </w:r>
    </w:p>
    <w:p w:rsidR="00316930" w:rsidRPr="00316930" w:rsidRDefault="00316930" w:rsidP="00316930">
      <w:pPr>
        <w:pStyle w:val="BillDots"/>
      </w:pPr>
    </w:p>
    <w:p w:rsidR="007B0E99" w:rsidRPr="007B0E99" w:rsidRDefault="007B0E99" w:rsidP="007B0E99">
      <w:pPr>
        <w:pStyle w:val="BillDots"/>
        <w:jc w:val="center"/>
      </w:pPr>
      <w:r>
        <w:rPr>
          <w:b/>
          <w:u w:val="single"/>
        </w:rPr>
        <w:t>STATEMENT OF ESTIMATED FISCAL IMPACT</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0E99">
        <w:rPr>
          <w:szCs w:val="22"/>
        </w:rPr>
        <w:t>ESTIMATED FISCAL IMPACT ON GENERAL FUND EXPENDITURES:</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0E99">
        <w:rPr>
          <w:szCs w:val="22"/>
        </w:rPr>
        <w:t>Minimal (Some additional costs expected but can be absorbed)</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0E99">
        <w:rPr>
          <w:szCs w:val="22"/>
        </w:rPr>
        <w:t>ESTIMATED FISCAL IMPACT ON FEDERAL &amp; OTHER FUND EXPENDITURES:</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7B0E99">
        <w:rPr>
          <w:szCs w:val="22"/>
        </w:rPr>
        <w:t>$0 (No additional expenditures or savings are expected)</w:t>
      </w:r>
    </w:p>
    <w:p w:rsidR="007B0E99" w:rsidRPr="007B0E99" w:rsidRDefault="007B0E99" w:rsidP="003169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0E99">
        <w:rPr>
          <w:b/>
          <w:szCs w:val="22"/>
        </w:rPr>
        <w:lastRenderedPageBreak/>
        <w:t>EXPLANATION OF IMPACT:</w:t>
      </w:r>
    </w:p>
    <w:p w:rsidR="007B0E99" w:rsidRPr="007B0E99" w:rsidRDefault="007B0E99" w:rsidP="003169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7B0E99">
        <w:rPr>
          <w:szCs w:val="22"/>
          <w:u w:val="single"/>
        </w:rPr>
        <w:t>Department of Health &amp; Environmental Control</w:t>
      </w:r>
    </w:p>
    <w:p w:rsidR="007B0E99" w:rsidRPr="007B0E99" w:rsidRDefault="007B0E99" w:rsidP="003169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B0E99">
        <w:rPr>
          <w:szCs w:val="22"/>
        </w:rPr>
        <w:tab/>
        <w:t>The department reports that there would be no impact on the state general fund resulting from enactment of this bill.  The department indicates that the increased number of CON reviews that would be required under the provisions of this bill would be offset by fewer Non-Applicability and Exemption determinations being requested.</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B0E99">
        <w:rPr>
          <w:szCs w:val="22"/>
          <w:u w:val="single"/>
        </w:rPr>
        <w:t>Administrative Law Court</w:t>
      </w:r>
    </w:p>
    <w:p w:rsidR="007B0E99" w:rsidRPr="007B0E99" w:rsidRDefault="007B0E99" w:rsidP="0031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B0E99">
        <w:rPr>
          <w:szCs w:val="22"/>
        </w:rPr>
        <w:tab/>
        <w:t>The court indicates that enactment of this bill will have a minimal impact on the General Fund of the State, which can be absorbed by the agency at the current level of funding.</w:t>
      </w:r>
    </w:p>
    <w:p w:rsidR="007B0E99" w:rsidRDefault="007B0E99">
      <w:pPr>
        <w:pStyle w:val="BillDots"/>
      </w:pPr>
    </w:p>
    <w:p w:rsidR="007B0E99" w:rsidRDefault="007B0E99" w:rsidP="007B0E9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B0E99" w:rsidRDefault="007B0E99" w:rsidP="007B0E99">
      <w:pPr>
        <w:pStyle w:val="BillDots"/>
        <w:tabs>
          <w:tab w:val="clear" w:pos="216"/>
          <w:tab w:val="clear" w:pos="432"/>
          <w:tab w:val="clear" w:pos="648"/>
          <w:tab w:val="clear" w:pos="864"/>
          <w:tab w:val="clear" w:pos="1080"/>
          <w:tab w:val="clear" w:pos="1296"/>
          <w:tab w:val="clear" w:pos="5904"/>
          <w:tab w:val="left" w:pos="3024"/>
        </w:tabs>
      </w:pPr>
      <w:r>
        <w:tab/>
        <w:t>Harry Bell</w:t>
      </w:r>
    </w:p>
    <w:p w:rsidR="007B0E99" w:rsidRPr="007B0E99" w:rsidRDefault="007B0E99" w:rsidP="007B0E9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B0E99" w:rsidRDefault="007B0E99">
      <w:pPr>
        <w:pStyle w:val="BillDots"/>
      </w:pPr>
    </w:p>
    <w:p w:rsidR="007B0E99" w:rsidRDefault="007B0E99">
      <w:pPr>
        <w:pStyle w:val="BillDots"/>
      </w:pPr>
    </w:p>
    <w:p w:rsidR="002B76C3" w:rsidRDefault="002B76C3">
      <w:pPr>
        <w:pStyle w:val="BillDots"/>
        <w:sectPr w:rsidR="002B76C3"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 TO REVISE, ELIMINATE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 xml:space="preserve">accompanied by </w:t>
      </w:r>
      <w:r>
        <w:rPr>
          <w:szCs w:val="24"/>
          <w:u w:val="single"/>
        </w:rPr>
        <w:lastRenderedPageBreak/>
        <w:t>a filing fee</w:t>
      </w:r>
      <w:r>
        <w:rPr>
          <w:szCs w:val="24"/>
        </w:rPr>
        <w:t xml:space="preserve"> is filed with the department by the applicant, permittee, licensee,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Department decisions in which a determination is made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 become the final agency decision fifteen calendar days after public notice is given unless a written request for final review accompanied by a filing fee is filed, in accordance with Section 44</w:t>
      </w:r>
      <w:r>
        <w:rPr>
          <w:szCs w:val="24"/>
          <w:u w:val="single"/>
        </w:rPr>
        <w:noBreakHyphen/>
        <w:t>7</w:t>
      </w:r>
      <w:r>
        <w:rPr>
          <w:szCs w:val="24"/>
          <w:u w:val="single"/>
        </w:rPr>
        <w:noBreakHyphen/>
        <w:t>210, with the department by the applicant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No later than </w:t>
      </w:r>
      <w:r>
        <w:rPr>
          <w:strike/>
          <w:szCs w:val="24"/>
        </w:rPr>
        <w:t>sixty</w:t>
      </w:r>
      <w:r>
        <w:rPr>
          <w:szCs w:val="24"/>
        </w:rPr>
        <w:t xml:space="preserve"> </w:t>
      </w:r>
      <w:r>
        <w:rPr>
          <w:szCs w:val="24"/>
          <w:u w:val="single"/>
        </w:rPr>
        <w:t>ninety calendar</w:t>
      </w:r>
      <w:r>
        <w:rPr>
          <w:szCs w:val="24"/>
        </w:rPr>
        <w:t xml:space="preserve"> days after the date of receipt of a request for final review, a final review conference must be conducted by the board, its designee, or a committee of three members of the board appointed by the chair.  If </w:t>
      </w:r>
      <w:r>
        <w:rPr>
          <w:szCs w:val="24"/>
          <w:u w:val="single"/>
        </w:rPr>
        <w:t>the board declines in writing to schedule a final review conference or if</w:t>
      </w:r>
      <w:r>
        <w:rPr>
          <w:szCs w:val="24"/>
        </w:rPr>
        <w:t xml:space="preserve"> a final review conference is not conducted within </w:t>
      </w:r>
      <w:r>
        <w:rPr>
          <w:strike/>
          <w:szCs w:val="24"/>
        </w:rPr>
        <w:t>sixty</w:t>
      </w:r>
      <w:r>
        <w:rPr>
          <w:szCs w:val="24"/>
        </w:rPr>
        <w:t xml:space="preserve"> </w:t>
      </w:r>
      <w:r>
        <w:rPr>
          <w:szCs w:val="24"/>
          <w:u w:val="single"/>
        </w:rPr>
        <w:t>ninety calendar</w:t>
      </w:r>
      <w:r>
        <w:rPr>
          <w:szCs w:val="24"/>
        </w:rPr>
        <w:t xml:space="preserve"> days, the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w:t>
      </w:r>
      <w:r>
        <w:rPr>
          <w:szCs w:val="24"/>
        </w:rPr>
        <w:lastRenderedPageBreak/>
        <w:t xml:space="preserve">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ninety</w:t>
      </w:r>
      <w:r>
        <w:rPr>
          <w:szCs w:val="24"/>
          <w:u w:val="single"/>
        </w:rPr>
        <w:noBreakHyphen/>
        <w:t>day deadline to hold the final review conference lapses and no conference has been held;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methadone treatment facilities, </w:t>
      </w:r>
      <w:r>
        <w:rPr>
          <w:strike/>
        </w:rPr>
        <w:t>tuberculosis hospitals,</w:t>
      </w:r>
      <w:r>
        <w:t xml:space="preserve"> nursing 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w:t>
      </w:r>
      <w:r>
        <w:rPr>
          <w:u w:val="single"/>
        </w:rPr>
        <w:lastRenderedPageBreak/>
        <w:t>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 Program.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 capital expenditure by or on behalf of a </w:t>
      </w:r>
      <w:r>
        <w:rPr>
          <w:strike/>
          <w:szCs w:val="24"/>
        </w:rPr>
        <w:t>health care facility</w:t>
      </w:r>
      <w:r>
        <w:rPr>
          <w:szCs w:val="24"/>
        </w:rPr>
        <w:t xml:space="preserve"> </w:t>
      </w:r>
      <w:r>
        <w:rPr>
          <w:szCs w:val="24"/>
          <w:u w:val="single"/>
        </w:rPr>
        <w:t>person</w:t>
      </w:r>
      <w:r>
        <w:rPr>
          <w:szCs w:val="24"/>
        </w:rPr>
        <w:t xml:space="preserve"> which is associated with the addition or substantial expansion of a health service for which specific standards or criteria are prescribed in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Pr>
          <w:strike/>
          <w:szCs w:val="24"/>
        </w:rPr>
        <w:t>or on behalf of a health care facility</w:t>
      </w:r>
      <w:r>
        <w:rPr>
          <w:szCs w:val="24"/>
        </w:rPr>
        <w:t xml:space="preserve"> </w:t>
      </w:r>
      <w:r>
        <w:rPr>
          <w:szCs w:val="24"/>
          <w:u w:val="single"/>
        </w:rPr>
        <w:t>a person</w:t>
      </w:r>
      <w:r>
        <w:rPr>
          <w:szCs w:val="24"/>
        </w:rPr>
        <w:t xml:space="preserve"> which has not been offered by </w:t>
      </w:r>
      <w:r>
        <w:rPr>
          <w:strike/>
          <w:szCs w:val="24"/>
        </w:rPr>
        <w:t>the facility</w:t>
      </w:r>
      <w:r>
        <w:rPr>
          <w:szCs w:val="24"/>
        </w:rPr>
        <w:t xml:space="preserve"> </w:t>
      </w:r>
      <w:r>
        <w:rPr>
          <w:szCs w:val="24"/>
          <w:u w:val="single"/>
        </w:rPr>
        <w:t>that person</w:t>
      </w:r>
      <w:r>
        <w:rPr>
          <w:szCs w:val="24"/>
        </w:rPr>
        <w:t xml:space="preserve"> in the preceding twelve months </w:t>
      </w:r>
      <w:r>
        <w:rPr>
          <w:strike/>
          <w:szCs w:val="24"/>
        </w:rPr>
        <w:t xml:space="preserve">and which has an annual operating cost in excess of an amount to be prescribed by </w:t>
      </w:r>
      <w:r>
        <w:rPr>
          <w:strike/>
          <w:szCs w:val="24"/>
        </w:rPr>
        <w:lastRenderedPageBreak/>
        <w:t>regulation</w:t>
      </w:r>
      <w:r>
        <w:rPr>
          <w:szCs w:val="24"/>
        </w:rPr>
        <w:t xml:space="preserve"> and for which specific standards or criteria are prescribed in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(6)</w:t>
      </w:r>
      <w:r>
        <w:rPr>
          <w:szCs w:val="24"/>
        </w:rPr>
        <w:tab/>
      </w:r>
      <w:r>
        <w:rPr>
          <w:strike/>
          <w:szCs w:val="24"/>
        </w:rPr>
        <w:t>the acquisition of medical equipment which is to be used for diagnosis or treatment if the total project cost is in excess of that prescribed by regulation;</w:t>
      </w:r>
      <w:r>
        <w:rPr>
          <w:szCs w:val="24"/>
        </w:rPr>
        <w:t xml:space="preserve"> </w:t>
      </w:r>
      <w:r>
        <w:rPr>
          <w:szCs w:val="24"/>
          <w:u w:val="single"/>
        </w:rPr>
        <w:t>during the time period that the 2008</w:t>
      </w:r>
      <w:r>
        <w:rPr>
          <w:szCs w:val="24"/>
          <w:u w:val="single"/>
        </w:rPr>
        <w:noBreakHyphen/>
        <w:t>2009 South Carolina Health Plan is in effect, the acquisition of medical equipment that is to be used for diagnosis or treatment if the total project cost, as defined according to generally accepted accounting principles, is in excess of that prescribed by regulation.  Subsequent South Carolina Health Plans adopted by the board must identify the specific category of medical equipment for which a certificate of need is required.  For each category of medical equipment identified, the South Carolina Health Plan must provide specific standards or criteria under which a certificate of need application will be reviewed.  Upon the effective date of the South Carolina Health Plan adopted subsequent to the 2008</w:t>
      </w:r>
      <w:r>
        <w:rPr>
          <w:szCs w:val="24"/>
          <w:u w:val="single"/>
        </w:rPr>
        <w:noBreakHyphen/>
        <w:t>2009 State Health Plan, all medical equipment identified by the board in the South Carolina Health Plan as requiring a certificate of need, must have a certificate of need before being placed into operation, regardless of its cost.  This item applies to the purchase or lease of new or used equipment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following are exempt from certificate of need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offices of a licensed private practitioner whether for individual or group practice except as provided for in Section 44</w:t>
      </w:r>
      <w:r>
        <w:rPr>
          <w:strike/>
          <w:szCs w:val="24"/>
        </w:rPr>
        <w:noBreakHyphen/>
        <w:t>7</w:t>
      </w:r>
      <w:r>
        <w:rPr>
          <w:strike/>
          <w:szCs w:val="24"/>
        </w:rPr>
        <w:noBreakHyphen/>
        <w:t>160(1) and (6);</w:t>
      </w:r>
      <w:r>
        <w:rPr>
          <w:szCs w:val="24"/>
        </w:rPr>
        <w:t xml:space="preserve"> </w:t>
      </w:r>
      <w:r>
        <w:rPr>
          <w:szCs w:val="24"/>
          <w:u w:val="single"/>
        </w:rPr>
        <w:t>the replacement of like equipment for which a certificate of need has been issued which does not constitute a material change in service or a new service</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based housing designed to promote independent living for persons with mental or physical disabilities.  This does not include a facility defined in this article as a “health care facility”</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t>“Section 44</w:t>
      </w:r>
      <w:r>
        <w:rPr>
          <w:szCs w:val="24"/>
        </w:rPr>
        <w:noBreakHyphen/>
        <w:t>7</w:t>
      </w:r>
      <w:r>
        <w:rPr>
          <w:szCs w:val="24"/>
        </w:rPr>
        <w:noBreakHyphen/>
        <w:t>180.</w:t>
      </w:r>
      <w:r>
        <w:rPr>
          <w:szCs w:val="24"/>
        </w:rPr>
        <w:tab/>
        <w:t xml:space="preserve"> (A)</w:t>
      </w:r>
      <w:r>
        <w:rPr>
          <w:szCs w:val="24"/>
        </w:rPr>
        <w:tab/>
      </w:r>
      <w:r>
        <w:t xml:space="preserve">There is created a health planning committee comprised of fourteen members.  The Governor shall appoint twelve members, </w:t>
      </w:r>
      <w:r>
        <w:rPr>
          <w:u w:val="single"/>
        </w:rPr>
        <w:t>which must include</w:t>
      </w:r>
      <w:r>
        <w:t xml:space="preserve"> at least one member from each congressional district.  </w:t>
      </w:r>
      <w:r>
        <w:rPr>
          <w:u w:val="single"/>
        </w:rPr>
        <w:t>The committee shall consist at a minimum of four physicians licensed by the South Carolina Board of Medical Examiners.  Of the four physician members, two must be in private practice and two must be employed by a hospital licensed in this State. In addition,</w:t>
      </w:r>
      <w:r>
        <w:t xml:space="preserve"> each of the following groups must be </w:t>
      </w:r>
      <w:r>
        <w:rPr>
          <w:strike/>
        </w:rPr>
        <w:t>equally</w:t>
      </w:r>
      <w:r>
        <w:t xml:space="preserve"> represented among the Governor’s appointees:  health care consumers, health care financiers </w:t>
      </w:r>
      <w:r>
        <w:rPr>
          <w:strike/>
        </w:rPr>
        <w:t>to include</w:t>
      </w:r>
      <w:r>
        <w:rPr>
          <w:u w:val="single"/>
        </w:rPr>
        <w:t>, including</w:t>
      </w:r>
      <w:r>
        <w:t xml:space="preserve"> </w:t>
      </w:r>
      <w:r>
        <w:lastRenderedPageBreak/>
        <w:t xml:space="preserve">business and insurance, and health care providers.  The chairman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Program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w:t>
      </w:r>
      <w:r>
        <w:rPr>
          <w:szCs w:val="24"/>
        </w:rPr>
        <w:lastRenderedPageBreak/>
        <w:t xml:space="preserve">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project review criteria promulgated in regulation must be used in reviewing all projects under the certificate of need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xml:space="preserve">; however, in the case of competing applications, the </w:t>
      </w:r>
      <w:r>
        <w:rPr>
          <w:szCs w:val="24"/>
          <w:u w:val="single"/>
        </w:rPr>
        <w:lastRenderedPageBreak/>
        <w:t>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 xml:space="preserve">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w:t>
      </w:r>
      <w:r>
        <w:rPr>
          <w:strike/>
          <w:szCs w:val="24"/>
        </w:rPr>
        <w:lastRenderedPageBreak/>
        <w:t>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Notwithstanding any other provision of law,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 xml:space="preserve">160, the Administrative Law Court shall file a final decision no later than </w:t>
      </w:r>
      <w:r>
        <w:rPr>
          <w:szCs w:val="24"/>
          <w:u w:val="single"/>
        </w:rPr>
        <w:lastRenderedPageBreak/>
        <w:t>twelve months after the contested case is filed with the Clerk of the Administrative Law Court, unless all parties to the contested case consent to an extension.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clerk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certificate of need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w:t>
      </w:r>
      <w:r>
        <w:rPr>
          <w:szCs w:val="24"/>
        </w:rPr>
        <w:lastRenderedPageBreak/>
        <w:t xml:space="preserve">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w:t>
      </w:r>
      <w:r>
        <w:lastRenderedPageBreak/>
        <w:t xml:space="preserve">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 xml:space="preserve">Licenses issued pursuant to this article expire one year after date of issuance or annually upon uniform </w:t>
      </w:r>
      <w:r>
        <w:rPr>
          <w:szCs w:val="24"/>
        </w:rPr>
        <w:lastRenderedPageBreak/>
        <w:t>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 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A360D4">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E99" w:rsidRDefault="007B0E99">
      <w:r>
        <w:separator/>
      </w:r>
    </w:p>
  </w:endnote>
  <w:endnote w:type="continuationSeparator" w:id="1">
    <w:p w:rsidR="007B0E99" w:rsidRDefault="007B0E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48214A-6E03-46D7-BDC8-80C710A544E6}"/>
    <w:embedBold r:id="rId2" w:fontKey="{C13183D7-3ACB-4587-8020-9B822DBF3136}"/>
    <w:embedItalic r:id="rId3" w:fontKey="{2A8D6A16-312C-4E19-8A25-4603669A3472}"/>
  </w:font>
  <w:font w:name="Calibri">
    <w:panose1 w:val="020F0502020204030204"/>
    <w:charset w:val="00"/>
    <w:family w:val="swiss"/>
    <w:pitch w:val="variable"/>
    <w:sig w:usb0="A00002EF" w:usb1="4000207B" w:usb2="00000000" w:usb3="00000000" w:csb0="0000009F" w:csb1="00000000"/>
    <w:embedRegular r:id="rId4" w:fontKey="{B3820A24-FB0F-411B-8534-9EB38C3FBA65}"/>
  </w:font>
  <w:font w:name="Tahoma">
    <w:panose1 w:val="020B0604030504040204"/>
    <w:charset w:val="00"/>
    <w:family w:val="swiss"/>
    <w:pitch w:val="variable"/>
    <w:sig w:usb0="61002A87" w:usb1="80000000" w:usb2="00000008" w:usb3="00000000" w:csb0="000101FF" w:csb1="00000000"/>
    <w:embedRegular r:id="rId5" w:fontKey="{A4ADA834-39A0-44A4-86B1-4D6BC8943F33}"/>
  </w:font>
  <w:font w:name="Cambria">
    <w:panose1 w:val="02040503050406030204"/>
    <w:charset w:val="00"/>
    <w:family w:val="roman"/>
    <w:pitch w:val="variable"/>
    <w:sig w:usb0="A00002EF" w:usb1="4000004B" w:usb2="00000000" w:usb3="00000000" w:csb0="0000009F" w:csb1="00000000"/>
    <w:embedRegular r:id="rId6" w:fontKey="{79B40B00-E1D0-4038-87AC-7D4F93D12E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E99" w:rsidRDefault="007B0E99">
    <w:pPr>
      <w:pStyle w:val="Footer"/>
      <w:tabs>
        <w:tab w:val="clear" w:pos="4680"/>
        <w:tab w:val="clear" w:pos="9360"/>
        <w:tab w:val="center" w:pos="2995"/>
      </w:tabs>
      <w:spacing w:before="120"/>
    </w:pPr>
    <w:r>
      <w:t>[337-</w:t>
    </w:r>
    <w:fldSimple w:instr=" PAGE  \* MERGEFORMAT ">
      <w:r w:rsidR="00A360D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E99" w:rsidRDefault="007B0E99">
    <w:pPr>
      <w:pStyle w:val="Footer"/>
      <w:tabs>
        <w:tab w:val="clear" w:pos="4680"/>
        <w:tab w:val="clear" w:pos="9360"/>
        <w:tab w:val="center" w:pos="2995"/>
      </w:tabs>
      <w:spacing w:before="120"/>
    </w:pPr>
    <w:r>
      <w:t>[337]</w:t>
    </w:r>
    <w:r>
      <w:tab/>
    </w:r>
    <w:fldSimple w:instr=" PAGE  \* MERGEFORMAT ">
      <w:r w:rsidR="00A360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E99" w:rsidRDefault="007B0E99">
      <w:r>
        <w:separator/>
      </w:r>
    </w:p>
  </w:footnote>
  <w:footnote w:type="continuationSeparator" w:id="1">
    <w:p w:rsidR="007B0E99" w:rsidRDefault="007B0E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122FAF"/>
    <w:rsid w:val="002B76C3"/>
    <w:rsid w:val="00316930"/>
    <w:rsid w:val="0051409E"/>
    <w:rsid w:val="007B0E99"/>
    <w:rsid w:val="00A360D4"/>
    <w:rsid w:val="00BB3640"/>
    <w:rsid w:val="00EF5DF3"/>
    <w:rsid w:val="00F04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iPriority w:val="99"/>
    <w:semiHidden/>
    <w:unhideWhenUsed/>
    <w:rsid w:val="00BB3640"/>
    <w:pPr>
      <w:tabs>
        <w:tab w:val="center" w:pos="4320"/>
        <w:tab w:val="right" w:pos="8640"/>
      </w:tabs>
    </w:pPr>
  </w:style>
  <w:style w:type="character" w:customStyle="1" w:styleId="HeaderChar">
    <w:name w:val="Header Char"/>
    <w:basedOn w:val="DefaultParagraphFont"/>
    <w:link w:val="Header"/>
    <w:uiPriority w:val="99"/>
    <w:semiHidden/>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22F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9105</Words>
  <Characters>48169</Characters>
  <Application>Microsoft Office Word</Application>
  <DocSecurity>0</DocSecurity>
  <Lines>1120</Lines>
  <Paragraphs>227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2009-01-28T18:49:00Z</cp:lastPrinted>
  <dcterms:created xsi:type="dcterms:W3CDTF">2009-03-05T22:55:00Z</dcterms:created>
  <dcterms:modified xsi:type="dcterms:W3CDTF">2009-03-05T22:55:00Z</dcterms:modified>
</cp:coreProperties>
</file>