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501" w:rsidRDefault="004D5501">
      <w:pPr>
        <w:pStyle w:val="BillDots"/>
      </w:pPr>
      <w:r>
        <w:rPr>
          <w:strike/>
        </w:rPr>
        <w:t>Indicates Matter Stricken</w:t>
      </w:r>
    </w:p>
    <w:p w:rsidR="004D5501" w:rsidRPr="004D5501" w:rsidRDefault="004D5501">
      <w:pPr>
        <w:pStyle w:val="BillDots"/>
      </w:pPr>
      <w:r>
        <w:rPr>
          <w:u w:val="single"/>
        </w:rPr>
        <w:t>Indicates New Matter</w:t>
      </w:r>
    </w:p>
    <w:p w:rsidR="004D5501" w:rsidRDefault="004D5501">
      <w:pPr>
        <w:pStyle w:val="BillDots"/>
      </w:pPr>
    </w:p>
    <w:p w:rsidR="004D5501" w:rsidRDefault="004D5501">
      <w:pPr>
        <w:pStyle w:val="BillDots"/>
      </w:pPr>
      <w:r>
        <w:t>AMENDED</w:t>
      </w:r>
    </w:p>
    <w:p w:rsidR="004D5501" w:rsidRDefault="004D5501">
      <w:pPr>
        <w:pStyle w:val="BillDots"/>
      </w:pPr>
      <w:r>
        <w:t>April 28, 2010</w:t>
      </w:r>
    </w:p>
    <w:p w:rsidR="004D5501" w:rsidRDefault="004D5501">
      <w:pPr>
        <w:pStyle w:val="BillDots"/>
      </w:pPr>
    </w:p>
    <w:p w:rsidR="004D5501" w:rsidRPr="004D5501" w:rsidRDefault="004D5501" w:rsidP="004D5501">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4D5501" w:rsidRDefault="004D5501">
      <w:pPr>
        <w:pStyle w:val="BillDots"/>
      </w:pPr>
    </w:p>
    <w:p w:rsidR="004D5501" w:rsidRDefault="004D5501" w:rsidP="004D5501">
      <w:pPr>
        <w:pStyle w:val="BillDots"/>
      </w:pPr>
      <w:r>
        <w:t>Introduced by Reps. Spires, Clyburn, Herbkersman, Hosey, Jefferson, Knight, Long, D.C. Smith, J.R. Smith, Williams, Forrester, A.D. Young, Huggins and Hiott</w:t>
      </w:r>
    </w:p>
    <w:p w:rsidR="004D5501" w:rsidRDefault="004D5501">
      <w:pPr>
        <w:pStyle w:val="BillDots"/>
      </w:pPr>
    </w:p>
    <w:p w:rsidR="004D5501" w:rsidRDefault="004D5501">
      <w:pPr>
        <w:pStyle w:val="BillDots"/>
      </w:pPr>
      <w:r>
        <w:t>S. Printed 4/28/10--H.</w:t>
      </w:r>
    </w:p>
    <w:p w:rsidR="004D5501" w:rsidRDefault="004D5501">
      <w:pPr>
        <w:pStyle w:val="BillDots"/>
      </w:pPr>
      <w:r>
        <w:t>Read the first time January 29, 2009.</w:t>
      </w:r>
    </w:p>
    <w:p w:rsidR="004D5501" w:rsidRPr="004D5501" w:rsidRDefault="004D5501" w:rsidP="004D5501">
      <w:pPr>
        <w:pStyle w:val="BillDots"/>
        <w:jc w:val="center"/>
      </w:pPr>
      <w:r>
        <w:rPr>
          <w:u w:val="single"/>
        </w:rPr>
        <w:t>            </w:t>
      </w:r>
    </w:p>
    <w:p w:rsidR="004D5501" w:rsidRDefault="004D5501">
      <w:pPr>
        <w:pStyle w:val="BillDots"/>
      </w:pP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4D5501"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szCs w:val="24"/>
        </w:rPr>
        <w:t>Whereas, the primary purpose of this act is to promote, preserve, and protect the public health and safety and to prepare for the threat of pandemic influenza by expanding access to influenza vaccines.  Now, therefore</w:t>
      </w:r>
      <w:r>
        <w:rPr>
          <w:szCs w:val="24"/>
        </w:rPr>
        <w:t>,</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SECTION</w:t>
      </w:r>
      <w:r w:rsidRPr="002D1249">
        <w:rPr>
          <w:u w:color="000000" w:themeColor="text1"/>
        </w:rPr>
        <w:tab/>
        <w:t>1.</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190.</w:t>
      </w:r>
      <w:r w:rsidRPr="002D1249">
        <w:rPr>
          <w:u w:color="000000" w:themeColor="text1"/>
        </w:rPr>
        <w:tab/>
        <w:t>(A)(1) The Board of Medical Examiners shall issue a written protocol for the administration of influenza vaccines by pharmacists without an order of a practitioner.  The administration of influenza vaccines as authorized in this section must not be to persons under the age of eighteen years.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The written protocol must further authorize pharmacists to administer without an order of a practitioner those medications necessary in the treatment of adverse events.  These medications must be used only in the treatment of adverse events and must be limited to those delineated within the written protocol.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The written protocol must be issued no later than January 1, 2011.</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The written protocol must provide that:</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(1)</w:t>
      </w:r>
      <w:r w:rsidRPr="002D1249">
        <w:rPr>
          <w:u w:color="000000" w:themeColor="text1"/>
        </w:rPr>
        <w:tab/>
        <w:t>A pharmacist seeking authorization to administer influenza vaccines as authorized in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2D1249">
        <w:rPr>
          <w:u w:color="000000" w:themeColor="text1"/>
        </w:rPr>
        <w:noBreakHyphen/>
        <w:t xml:space="preserve">on training, and techniques for administering influenza vaccines and must provide instruction and experiential training in the following content areas: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 xml:space="preserve">mechanisms of action for influenza vaccines, contraindications, drug interactions, and monitoring after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standards for adult immunization practices;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basic immunology and vaccine protection;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vaccine</w:t>
      </w:r>
      <w:r w:rsidRPr="002D1249">
        <w:rPr>
          <w:u w:color="000000" w:themeColor="text1"/>
        </w:rPr>
        <w:noBreakHyphen/>
        <w:t xml:space="preserve">preventable diseases;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 xml:space="preserve">recommended immunization schedules;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(f)</w:t>
      </w:r>
      <w:r w:rsidRPr="002D1249">
        <w:rPr>
          <w:u w:color="000000" w:themeColor="text1"/>
        </w:rPr>
        <w:tab/>
        <w:t xml:space="preserve">vaccine storage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(g)</w:t>
      </w:r>
      <w:r w:rsidRPr="002D1249">
        <w:rPr>
          <w:u w:color="000000" w:themeColor="text1"/>
        </w:rPr>
        <w:tab/>
        <w:t xml:space="preserve">biohazard waste disposal and sterile techniques;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(h)</w:t>
      </w:r>
      <w:r w:rsidRPr="002D1249">
        <w:rPr>
          <w:u w:color="000000" w:themeColor="text1"/>
        </w:rPr>
        <w:tab/>
        <w:t xml:space="preserve">informed consent;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(i)</w:t>
      </w:r>
      <w:r>
        <w:rPr>
          <w:u w:color="000000" w:themeColor="text1"/>
        </w:rPr>
        <w:tab/>
      </w:r>
      <w:r w:rsidRPr="002D1249">
        <w:rPr>
          <w:u w:color="000000" w:themeColor="text1"/>
        </w:rPr>
        <w:tab/>
        <w:t xml:space="preserve">physiology and techniques for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(j)</w:t>
      </w:r>
      <w:r>
        <w:rPr>
          <w:u w:color="000000" w:themeColor="text1"/>
        </w:rPr>
        <w:tab/>
      </w:r>
      <w:r w:rsidRPr="002D1249">
        <w:rPr>
          <w:u w:color="000000" w:themeColor="text1"/>
        </w:rPr>
        <w:tab/>
        <w:t xml:space="preserve">prevaccine and postvaccine assessment and counseling;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(k)</w:t>
      </w:r>
      <w:r w:rsidRPr="002D1249">
        <w:rPr>
          <w:u w:color="000000" w:themeColor="text1"/>
        </w:rPr>
        <w:tab/>
        <w:t xml:space="preserve">immunization record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(l)</w:t>
      </w:r>
      <w:r w:rsidRPr="002D1249">
        <w:rPr>
          <w:u w:color="000000" w:themeColor="text1"/>
        </w:rPr>
        <w:tab/>
      </w:r>
      <w:r>
        <w:rPr>
          <w:u w:color="000000" w:themeColor="text1"/>
        </w:rPr>
        <w:tab/>
      </w:r>
      <w:r w:rsidRPr="002D1249">
        <w:rPr>
          <w:u w:color="000000" w:themeColor="text1"/>
        </w:rPr>
        <w:t xml:space="preserve">management of adverse events, including identification, appropriate response, emergency procedures, documentation, and reporting;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r>
      <w:r w:rsidRPr="002D1249">
        <w:rPr>
          <w:u w:color="000000" w:themeColor="text1"/>
        </w:rPr>
        <w:tab/>
      </w:r>
      <w:r w:rsidRPr="002D1249">
        <w:rPr>
          <w:u w:color="000000" w:themeColor="text1"/>
        </w:rPr>
        <w:tab/>
        <w:t>(m)</w:t>
      </w:r>
      <w:r w:rsidRPr="002D1249">
        <w:rPr>
          <w:u w:color="000000" w:themeColor="text1"/>
        </w:rPr>
        <w:tab/>
        <w:t>understanding of vaccine coverage by federal, state, and local entities;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(n)</w:t>
      </w:r>
      <w:r w:rsidRPr="002D1249">
        <w:rPr>
          <w:u w:color="000000" w:themeColor="text1"/>
        </w:rPr>
        <w:tab/>
        <w:t xml:space="preserve">needle stick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A pharmacist administering an influenza vaccine without an order of a practitioner pursuant to this section shall;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obtain the signed written consent of the person being vaccinated or that person’s guardian;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maintain a copy of the vaccine administration in that person’s record and provide a copy to the person or the person’s guardian;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notify that person’s designated physician or primary care provider of any influenza vaccine administered;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report administration of an influenza vaccines to any statewide immunization registry established by the Department of Health and Environmental Control as the department may require;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maintain a current copy of the written protocol at each location at which a pharmacist administers an influenza vaccine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A pharmacist may not delegate the administration of influenza vaccines to a pharmacy technician as defined in Section 40</w:t>
      </w:r>
      <w:r w:rsidRPr="002D1249">
        <w:rPr>
          <w:u w:color="000000" w:themeColor="text1"/>
        </w:rPr>
        <w:noBreakHyphen/>
        <w:t>43</w:t>
      </w:r>
      <w:r w:rsidRPr="002D1249">
        <w:rPr>
          <w:u w:color="000000" w:themeColor="text1"/>
        </w:rPr>
        <w:noBreakHyphen/>
        <w:t xml:space="preserve">30 or any other person who is not a pharmacist.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(4)</w:t>
      </w:r>
      <w:r w:rsidRPr="002D1249">
        <w:rPr>
          <w:u w:color="000000" w:themeColor="text1"/>
        </w:rPr>
        <w:tab/>
        <w:t>A pharmacist administering influenza vaccines shall, as part of the current continuing education requirements pursuant to Section 40</w:t>
      </w:r>
      <w:r w:rsidRPr="002D1249">
        <w:rPr>
          <w:u w:color="000000" w:themeColor="text1"/>
        </w:rPr>
        <w:noBreakHyphen/>
        <w:t>43</w:t>
      </w:r>
      <w:r w:rsidRPr="002D1249">
        <w:rPr>
          <w:u w:color="000000" w:themeColor="text1"/>
        </w:rPr>
        <w:noBreakHyphen/>
        <w:t>130, complete no less than one hour of continuing education each license year regarding administration of influenza vaccines.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Informed consent must be documented in accordance with the written protocol for influenza vaccine administration issued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t>(D)</w:t>
      </w:r>
      <w:r w:rsidRPr="002D1249">
        <w:rPr>
          <w:u w:color="000000" w:themeColor="text1"/>
        </w:rPr>
        <w:tab/>
        <w:t>All records required by this section must be maintained in the pharmacy for a period of at least six years.</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200.</w:t>
      </w:r>
      <w:r w:rsidRPr="002D1249">
        <w:rPr>
          <w:u w:color="000000" w:themeColor="text1"/>
        </w:rPr>
        <w:tab/>
        <w:t>(A) There is created a Joint Pharmacist Administered Influenza Vaccines Committee as a committee to the Board of Medical Examiners which consists of seven members with experience regarding influenza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Commissioner of the Department also shall serve on the committee.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t>(B)</w:t>
      </w:r>
      <w:r w:rsidRPr="002D1249">
        <w:rPr>
          <w:u w:color="000000" w:themeColor="text1"/>
        </w:rPr>
        <w:tab/>
        <w:t xml:space="preserve">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The committee shall assist and advise the Board of Medical Examiners in establishing a written protocol for the purpose of authorizing pharmacists to administer influenza vaccinations without an order of a practitioner as authorized by Section 40</w:t>
      </w:r>
      <w:r w:rsidRPr="002D1249">
        <w:rPr>
          <w:u w:color="000000" w:themeColor="text1"/>
        </w:rPr>
        <w:noBreakHyphen/>
        <w:t>43</w:t>
      </w:r>
      <w:r w:rsidRPr="002D1249">
        <w:rPr>
          <w:u w:color="000000" w:themeColor="text1"/>
        </w:rPr>
        <w:noBreakHyphen/>
        <w:t xml:space="preserve">190 and shall provide a suggested written protocol to the board no later than four months after the passage of this act.”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SECTION</w:t>
      </w:r>
      <w:r w:rsidRPr="002D1249">
        <w:rPr>
          <w:u w:color="000000" w:themeColor="text1"/>
        </w:rPr>
        <w:tab/>
        <w:t>2.</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40-43-145.</w:t>
      </w:r>
      <w:r w:rsidRPr="002D1249">
        <w:rPr>
          <w:u w:color="000000" w:themeColor="text1"/>
        </w:rPr>
        <w:tab/>
        <w:t>Each pharmacy must have posted in a conspicuous public location a written notice of the procedure to file a complaint with the Board of Pharmacy. The written notice must be approved by the board. The notice must be in a type and a format which is easily readable by patients and must include a telephone number, e</w:t>
      </w:r>
      <w:r w:rsidRPr="002D1249">
        <w:rPr>
          <w:u w:color="000000" w:themeColor="text1"/>
        </w:rPr>
        <w:noBreakHyphen/>
        <w:t xml:space="preserve">mail contact, and mailing address that a patient may use to file a complaint with the board.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48B8"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u w:color="000000" w:themeColor="text1"/>
        </w:rPr>
        <w:t>SE</w:t>
      </w:r>
      <w:r>
        <w:rPr>
          <w:u w:color="000000" w:themeColor="text1"/>
        </w:rPr>
        <w:t>CTION</w:t>
      </w:r>
      <w:r>
        <w:rPr>
          <w:u w:color="000000" w:themeColor="text1"/>
        </w:rPr>
        <w:tab/>
        <w:t>3.</w:t>
      </w:r>
      <w:r>
        <w:rPr>
          <w:u w:color="000000" w:themeColor="text1"/>
        </w:rPr>
        <w:tab/>
      </w:r>
      <w:r w:rsidRPr="002D1249">
        <w:rPr>
          <w:u w:color="000000" w:themeColor="text1"/>
        </w:rPr>
        <w:t>This act takes effect July 1, 2010.</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A42148">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05BBBF-4CB5-48B2-AB2D-E1D531DBF566}"/>
    <w:embedBold r:id="rId2" w:fontKey="{8064A7DC-3BC5-45A7-B106-CDF901978C85}"/>
  </w:font>
  <w:font w:name="Calibri">
    <w:panose1 w:val="020F0502020204030204"/>
    <w:charset w:val="00"/>
    <w:family w:val="swiss"/>
    <w:pitch w:val="variable"/>
    <w:sig w:usb0="A00002EF" w:usb1="4000207B" w:usb2="00000000" w:usb3="00000000" w:csb0="0000009F" w:csb1="00000000"/>
    <w:embedRegular r:id="rId3" w:fontKey="{359CB685-4CB1-4FB7-927E-D6E4F4FA45F3}"/>
  </w:font>
  <w:font w:name="Cambria">
    <w:panose1 w:val="02040503050406030204"/>
    <w:charset w:val="00"/>
    <w:family w:val="roman"/>
    <w:pitch w:val="variable"/>
    <w:sig w:usb0="A00002EF" w:usb1="4000004B" w:usb2="00000000" w:usb3="00000000" w:csb0="0000009F" w:csb1="00000000"/>
    <w:embedRegular r:id="rId4" w:fontKey="{10FE6BC6-71CA-48DF-BC45-0552D082A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A42148">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A421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110E8C"/>
    <w:rsid w:val="002D7EDA"/>
    <w:rsid w:val="00483205"/>
    <w:rsid w:val="004948B8"/>
    <w:rsid w:val="004D5501"/>
    <w:rsid w:val="0062481A"/>
    <w:rsid w:val="00650602"/>
    <w:rsid w:val="008A7FDD"/>
    <w:rsid w:val="009F2C04"/>
    <w:rsid w:val="00A42148"/>
    <w:rsid w:val="00BE3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20AA-2F40-43D0-9906-C25B74DBA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6095</Characters>
  <Application>Microsoft Office Word</Application>
  <DocSecurity>0</DocSecurity>
  <Lines>174</Lines>
  <Paragraphs>59</Paragraphs>
  <ScaleCrop>false</ScaleCrop>
  <Company> </Company>
  <LinksUpToDate>false</LinksUpToDate>
  <CharactersWithSpaces>7138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2010-04-22T18:59:00Z</cp:lastPrinted>
  <dcterms:created xsi:type="dcterms:W3CDTF">2010-04-28T22:53:00Z</dcterms:created>
  <dcterms:modified xsi:type="dcterms:W3CDTF">2010-04-28T22:53:00Z</dcterms:modified>
</cp:coreProperties>
</file>