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ESTABLISH THE SOUTH CAROLINA TAXATION REALIGNMENT COMMISSION; TO PROVIDE FOR THE COMMISSION’S MEMBERSHIP, POWERS, DUTIES, AND RESPONSIBILITIES; TO PROVIDE THAT THE COMMISSION MUST CONDUCT A COMPREHENSIVE STUDY OF THE STATE’S TAX SYSTEM INCLUDING ITS SALES TAX AND EXEMPTIONS STRUCTURE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(A)</w:t>
      </w:r>
      <w:r>
        <w:rPr>
          <w:szCs w:val="22"/>
        </w:rPr>
        <w:tab/>
        <w:t>There is created the South Carolina Taxation Realignment Commission to be comprised of seventeen members appointed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two members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two members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two members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(4)</w:t>
      </w:r>
      <w:r>
        <w:rPr>
          <w:szCs w:val="22"/>
        </w:rPr>
        <w:tab/>
        <w:t>two members appointed by the Chairman of the Senate Finance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(5)</w:t>
      </w:r>
      <w:r>
        <w:rPr>
          <w:szCs w:val="22"/>
        </w:rPr>
        <w:tab/>
        <w:t>two members appointed by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lastRenderedPageBreak/>
        <w:tab/>
      </w:r>
      <w:r>
        <w:rPr>
          <w:szCs w:val="22"/>
        </w:rPr>
        <w:tab/>
        <w:t>(6)</w:t>
      </w:r>
      <w:r>
        <w:rPr>
          <w:szCs w:val="22"/>
        </w:rPr>
        <w:tab/>
        <w:t>three members of the Senate to serve ex officio, to be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(7)</w:t>
      </w:r>
      <w:r>
        <w:rPr>
          <w:szCs w:val="22"/>
        </w:rPr>
        <w:tab/>
        <w:t>three members of the House to serve ex officio, to be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(8)</w:t>
      </w:r>
      <w:r>
        <w:rPr>
          <w:szCs w:val="22"/>
        </w:rPr>
        <w:tab/>
        <w:t>the Director of the Department of Revenue to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members appointed pursuant to items (1) through (5) above may not be members of the General Assembly and must have substantial academic or professional experience or specialization in one or more areas of public finance, government budgeting and administration, tax administration, economics, accounting, or tax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members appointed pursuant to items (1) through (7) above shall serve at the pleasure of their appointing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All vacancies shall be filled in the manner of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members of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a majority of its members.  The commission may engage or employ staff or consultants as may be necessary and prudent to assist the commission in the performance of its duties and responsibilities, the cost of which must receive the prior approval of the President Pro Tempore of the Senate and the Speaker of the House of Representatives.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 xml:space="preserve">shall serve without compensation, but nonlegislative members are allowed the usual per diem and mileage as provided by law for members of boards, commissions, and committees while on official business to be paid by the member’s appointing entity.  Members of the General Assembly shall be paid the mileage and subsistence to which members of the General Assembly are entitled while on official business of the commission.  Staffs of the Senate Finance Committee and the House Ways and Means Committee shall be available to assist the </w:t>
      </w:r>
      <w:r>
        <w:rPr>
          <w:szCs w:val="22"/>
        </w:rPr>
        <w:lastRenderedPageBreak/>
        <w:t>commission in its work.  Any other expenses incurred by the commission shall be paid equally from each respective house approved account subject to the prior approval of the President Pro Tempore of the Senate and the Speaker of the House of Representatives;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unless authorized by a further or subsequent enactment, conclude the commission’s business by January 1, 2011, at which time the commission shall be dissolved.  The General Assembly may extend the dates by which the commission must submit reports required by this 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(C)</w:t>
      </w:r>
      <w:r>
        <w:rPr>
          <w:szCs w:val="22"/>
        </w:rPr>
        <w:tab/>
        <w:t>The duties of the commission shall be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no later than December 1, 2009,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Chapter 36, Title 12, that effectuates the recommendations contained in the commission’s report;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December 1, 2010.  Any recommendations by the commission must consider and include in the discretion of the commission changes to: (1) taxes levied by any local taxing entity except for sales taxes on items exempt from state sales tax pursuant to Section 12</w:t>
      </w:r>
      <w:r>
        <w:rPr>
          <w:szCs w:val="22"/>
        </w:rPr>
        <w:noBreakHyphen/>
        <w:t>36</w:t>
      </w:r>
      <w:r>
        <w:rPr>
          <w:szCs w:val="22"/>
        </w:rPr>
        <w:noBreakHyphen/>
        <w:t xml:space="preserve">2120, and (2) the property tax system of this State regulated by the </w:t>
      </w:r>
      <w:r>
        <w:rPr>
          <w:szCs w:val="22"/>
        </w:rPr>
        <w:lastRenderedPageBreak/>
        <w:t>general law and the constitution and property tax relief provided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 xml:space="preserve">The text of the amending language required in subsection (C)(2) must be delivered to the Code Commissioner who must take steps to prepare the substance of the amendment to be enrolled and engrossed in the Code of Laws with the provisions of the amendment to take effect January 1, 2011, if the report is approved by enactment of a joint resolution which deals exclusively with the single subject and question of approval of the report and the associated amendment, in its entirety.  The legislation containing the amendment to enact the recommendations of the report made by the commission must be introduced in both houses by Chairman of the Senate Finance Committee and the Chairman of the House Ways and Means Committee.  An amendment is germane to legislation recommended by the commission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commission may only be adopted or concurred in by a three-fourths  majority vote of those present and voting in each respective house.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(E)</w:t>
      </w:r>
      <w:r>
        <w:rPr>
          <w:szCs w:val="22"/>
        </w:rPr>
        <w:tab/>
        <w:t>Further legislative recommendations made by the commission must be introduced in both houses by Chairman of the Senate Finance Committee and the Chairman of the House Ways and Means Committee respectively.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AA2595-698A-49E0-B3A9-27D7A8F0985E}"/>
    <w:embedBold r:id="rId2" w:fontKey="{DF65665C-B38B-47AD-A389-6C085EB35600}"/>
  </w:font>
  <w:font w:name="Calibri">
    <w:panose1 w:val="020F0502020204030204"/>
    <w:charset w:val="00"/>
    <w:family w:val="swiss"/>
    <w:pitch w:val="variable"/>
    <w:sig w:usb0="A00002EF" w:usb1="4000207B" w:usb2="00000000" w:usb3="00000000" w:csb0="0000009F" w:csb1="00000000"/>
    <w:embedRegular r:id="rId3" w:fontKey="{C7291DD1-55E2-4783-824D-8E491DBAFC6C}"/>
  </w:font>
  <w:font w:name="Tahoma">
    <w:panose1 w:val="020B0604030504040204"/>
    <w:charset w:val="00"/>
    <w:family w:val="swiss"/>
    <w:pitch w:val="variable"/>
    <w:sig w:usb0="61002A87" w:usb1="80000000" w:usb2="00000008" w:usb3="00000000" w:csb0="000101FF" w:csb1="00000000"/>
    <w:embedRegular r:id="rId4" w:fontKey="{793758EA-4084-4C3A-814B-7F10BCE1E92C}"/>
  </w:font>
  <w:font w:name="Cambria">
    <w:panose1 w:val="02040503050406030204"/>
    <w:charset w:val="00"/>
    <w:family w:val="roman"/>
    <w:pitch w:val="variable"/>
    <w:sig w:usb0="A00002EF" w:usb1="4000004B" w:usb2="00000000" w:usb3="00000000" w:csb0="0000009F" w:csb1="00000000"/>
    <w:embedRegular r:id="rId5" w:fontKey="{117E75AF-49C8-4C19-9D6C-84271C6C6B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9SD09"/>
    <w:docVar w:name="CoverBillType" w:val="j"/>
    <w:docVar w:name="docpath" w:val="L:\Council\bills\GJK\20039SD09.DOCX"/>
    <w:docVar w:name="dvBillNumber" w:val="3415"/>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1172</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2009-01-20T19:32:00Z</cp:lastPrinted>
  <dcterms:created xsi:type="dcterms:W3CDTF">2009-02-03T18:22:00Z</dcterms:created>
  <dcterms:modified xsi:type="dcterms:W3CDTF">2009-02-03T18:22:00Z</dcterms:modified>
</cp:coreProperties>
</file>