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330, AS AMENDED, CODE OF LAWS OF SOUTH CAROLINA, 1976, RELATING TO THOSE PROJECTS ELIGIBLE FOR FUNDING WITH REVENUES OF THE CAPITAL PROJECTS SALES TAX AND THE CONSTRUCTION OF THE BALLOT AND PROCEDURES FOR THE REFERENDUM REQUIRED FOR THE IMPOSITION OF THE TAX, SO AS TO ALLOW THE REVENUES OF THE TAX TO BE USED FOR THE ACQUISITION OF INTERESTS IN REAL PROPERTY INCLUDING DEVELOPMENT RIGHTS FOR ECONOMIC DEVELOPMENT, CONSERVATION, BLIGHT REMEDIATION, OR MILITARY BASE PROTECTION.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330(A)(1) of the 1976 Code, as last amended by Act 292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Pr>
          <w:szCs w:val="24"/>
        </w:rPr>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highways, roads, streets, bridges, and public parking garages and related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courthouses, administration buildings, civic centers, hospitals, emergency medical facilities, police stations, fire stations, jails, correctional facilities, detention facilities, libraries, coliseums, or any combination of these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(c)</w:t>
      </w:r>
      <w:r>
        <w:rPr>
          <w:szCs w:val="24"/>
        </w:rPr>
        <w:tab/>
        <w:t>cultural, recreational, or historic facilities, or any combination of these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water, sewer, or water and sewer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flood control projects and storm water management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beach access and beach renourishment;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(g)</w:t>
      </w:r>
      <w:r>
        <w:rPr>
          <w:szCs w:val="24"/>
        </w:rPr>
        <w:tab/>
      </w:r>
      <w:r>
        <w:rPr>
          <w:szCs w:val="24"/>
          <w:u w:val="single"/>
        </w:rPr>
        <w:t>the acquisition of interests in real property, including the purchase of development rights, for economic development, conservation, blight remediation, or military base protection;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(h)</w:t>
      </w:r>
      <w:r>
        <w:rPr>
          <w:szCs w:val="24"/>
        </w:rPr>
        <w:tab/>
        <w:t xml:space="preserve">jointly operated projects of the county, a municipality, special purpose district, and school district, or any combination of those entities, for the projects delineated in subitems (a) through </w:t>
      </w:r>
      <w:r>
        <w:rPr>
          <w:strike/>
          <w:szCs w:val="24"/>
        </w:rPr>
        <w:t>(f)</w:t>
      </w:r>
      <w:r>
        <w:rPr>
          <w:szCs w:val="24"/>
          <w:u w:val="single"/>
        </w:rPr>
        <w:t>(g)</w:t>
      </w:r>
      <w:r>
        <w:rPr>
          <w:szCs w:val="24"/>
        </w:rPr>
        <w:t xml:space="preserve"> of this 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(h)</w:t>
      </w:r>
      <w:r>
        <w:rPr>
          <w:szCs w:val="24"/>
          <w:u w:val="single"/>
        </w:rPr>
        <w:t>(i)</w:t>
      </w:r>
      <w:r>
        <w:rPr>
          <w:szCs w:val="24"/>
        </w:rPr>
        <w:tab/>
        <w:t xml:space="preserve">any combination of the projects described in subitems (a) through </w:t>
      </w:r>
      <w:r>
        <w:rPr>
          <w:strike/>
          <w:szCs w:val="24"/>
        </w:rPr>
        <w:t>(g)</w:t>
      </w:r>
      <w:r>
        <w:rPr>
          <w:szCs w:val="24"/>
          <w:u w:val="single"/>
        </w:rPr>
        <w:t>(h)</w:t>
      </w:r>
      <w:r>
        <w:rPr>
          <w:szCs w:val="24"/>
        </w:rPr>
        <w:t xml:space="preserve"> of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20AB33-503F-462A-9CB8-22CEBE38DF4E}"/>
    <w:embedBold r:id="rId2" w:fontKey="{2C93C497-0852-47DA-9948-16C2631755AD}"/>
  </w:font>
  <w:font w:name="Calibri">
    <w:panose1 w:val="020F0502020204030204"/>
    <w:charset w:val="00"/>
    <w:family w:val="swiss"/>
    <w:pitch w:val="variable"/>
    <w:sig w:usb0="A00002EF" w:usb1="4000207B" w:usb2="00000000" w:usb3="00000000" w:csb0="0000009F" w:csb1="00000000"/>
    <w:embedRegular r:id="rId3" w:fontKey="{856F9C4C-39CE-4CC4-94EE-F4547542AA9E}"/>
  </w:font>
  <w:font w:name="Cambria">
    <w:panose1 w:val="02040503050406030204"/>
    <w:charset w:val="00"/>
    <w:family w:val="roman"/>
    <w:pitch w:val="variable"/>
    <w:sig w:usb0="A00002EF" w:usb1="4000004B" w:usb2="00000000" w:usb3="00000000" w:csb0="0000009F" w:csb1="00000000"/>
    <w:embedRegular r:id="rId4" w:fontKey="{2A95503E-BFB4-45A0-BD6A-2CCD790231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25HTC09"/>
    <w:docVar w:name="CoverBillType" w:val="b"/>
    <w:docVar w:name="docpath" w:val="L:\Council\bills\BBM\9125HTC09.DOCX"/>
    <w:docVar w:name="dvBillNumber" w:val="346"/>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1902</Characters>
  <Application>Microsoft Office Word</Application>
  <DocSecurity>0</DocSecurity>
  <Lines>15</Lines>
  <Paragraphs>4</Paragraphs>
  <ScaleCrop>false</ScaleCrop>
  <Company> </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2009-01-29T14:42:00Z</cp:lastPrinted>
  <dcterms:created xsi:type="dcterms:W3CDTF">2009-01-29T16:55:00Z</dcterms:created>
  <dcterms:modified xsi:type="dcterms:W3CDTF">2009-01-29T16:55:00Z</dcterms:modified>
</cp:coreProperties>
</file>