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Article 1, Chapter 3, Title 54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“ARTICLE</w:t>
      </w:r>
      <w:r>
        <w:rPr>
          <w:rFonts w:eastAsia="Times New Roman"/>
          <w:color w:val="000000" w:themeColor="text1"/>
          <w:szCs w:val="24"/>
          <w:u w:color="000000" w:themeColor="text1"/>
        </w:rPr>
        <w:tab/>
        <w:t>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CREATION AND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There is created the</w:t>
      </w:r>
      <w:r>
        <w:rPr>
          <w:rFonts w:eastAsia="Times New Roman"/>
          <w:color w:val="000000" w:themeColor="text1"/>
          <w:szCs w:val="24"/>
          <w:u w:color="000000" w:themeColor="text1"/>
        </w:rPr>
        <w:t xml:space="preserve"> South Carolina State Ports Authority</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is hereby created consisting of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governing body </w:t>
      </w:r>
      <w:r>
        <w:rPr>
          <w:rFonts w:eastAsia="Times New Roman"/>
          <w:color w:val="000000" w:themeColor="text1"/>
          <w:szCs w:val="24"/>
          <w:u w:val="single" w:color="000000" w:themeColor="text1"/>
        </w:rPr>
        <w:t>of the authority is a board of directors consisting</w:t>
      </w:r>
      <w:r>
        <w:rPr>
          <w:rFonts w:eastAsia="Times New Roman"/>
          <w:color w:val="000000" w:themeColor="text1"/>
          <w:szCs w:val="24"/>
          <w:u w:color="000000" w:themeColor="text1"/>
        </w:rPr>
        <w:t xml:space="preserve"> of nine members</w:t>
      </w:r>
      <w:r>
        <w:rPr>
          <w:rFonts w:eastAsia="Times New Roman"/>
          <w:strike/>
          <w:color w:val="000000" w:themeColor="text1"/>
          <w:szCs w:val="24"/>
          <w:u w:color="000000" w:themeColor="text1"/>
        </w:rPr>
        <w:t>, hereafter referred to as the 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who shall be responsible for setting policies and direction for the authority so that the authority may achieve its mission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The powers and duties of the authority shall be exercised by the board.  The board may delegate to one or more officers, agents, or employees such powers </w:t>
      </w:r>
      <w:r>
        <w:rPr>
          <w:rFonts w:eastAsia="Times New Roman"/>
          <w:color w:val="000000" w:themeColor="text1"/>
          <w:szCs w:val="24"/>
          <w:u w:val="single" w:color="000000" w:themeColor="text1"/>
        </w:rPr>
        <w:lastRenderedPageBreak/>
        <w:t>and duties as it determines are necessary and proper for the effective, efficient operation of the 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The members of the board shall be appointed by the Governor, with the advice and consent of the Senate, for terms of seven years each and until their successors shall have been appointed</w:t>
      </w:r>
      <w:r>
        <w:rPr>
          <w:rFonts w:eastAsia="Times New Roman"/>
          <w:color w:val="000000" w:themeColor="text1"/>
          <w:szCs w:val="24"/>
          <w:u w:val="single" w:color="000000" w:themeColor="text1"/>
        </w:rPr>
        <w:t>, screened,</w:t>
      </w:r>
      <w:r>
        <w:rPr>
          <w:rFonts w:eastAsia="Times New Roman"/>
          <w:color w:val="000000" w:themeColor="text1"/>
          <w:szCs w:val="24"/>
          <w:u w:color="000000" w:themeColor="text1"/>
        </w:rPr>
        <w:t xml:space="preserve"> and have qualified.  In the event of a vacancy, however caused, a successor shall be appointed in the manner of original appointment for the unexpired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candidate for appointment to the board may not be confirmed by the Senate or serve on the board, even in an interim capacity, until he is found qualified by possessing the abilities and experience and meet the minimum qualifications contained in 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 xml:space="preserve">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board</w:t>
      </w:r>
      <w:r>
        <w:rPr>
          <w:rFonts w:eastAsia="Times New Roman"/>
          <w:color w:val="000000" w:themeColor="text1"/>
          <w:szCs w:val="24"/>
          <w:u w:color="000000" w:themeColor="text1"/>
        </w:rPr>
        <w:t xml:space="preserve"> shall elect one of </w:t>
      </w:r>
      <w:r>
        <w:rPr>
          <w:rFonts w:eastAsia="Times New Roman"/>
          <w:strike/>
          <w:color w:val="000000" w:themeColor="text1"/>
          <w:szCs w:val="24"/>
          <w:u w:color="000000" w:themeColor="text1"/>
        </w:rPr>
        <w:t>their number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its members to serve</w:t>
      </w:r>
      <w:r>
        <w:rPr>
          <w:rFonts w:eastAsia="Times New Roman"/>
          <w:color w:val="000000" w:themeColor="text1"/>
          <w:szCs w:val="24"/>
          <w:u w:color="000000" w:themeColor="text1"/>
        </w:rPr>
        <w:t xml:space="preserve"> as chairman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one </w:t>
      </w:r>
      <w:r>
        <w:rPr>
          <w:rFonts w:eastAsia="Times New Roman"/>
          <w:color w:val="000000" w:themeColor="text1"/>
          <w:szCs w:val="24"/>
          <w:u w:val="single" w:color="000000" w:themeColor="text1"/>
        </w:rPr>
        <w:t>member to serve</w:t>
      </w:r>
      <w:r>
        <w:rPr>
          <w:rFonts w:eastAsia="Times New Roman"/>
          <w:color w:val="000000" w:themeColor="text1"/>
          <w:szCs w:val="24"/>
          <w:u w:color="000000" w:themeColor="text1"/>
        </w:rPr>
        <w:t xml:space="preserve"> as vice</w:t>
      </w:r>
      <w:r>
        <w:rPr>
          <w:rFonts w:eastAsia="Times New Roman"/>
          <w:color w:val="000000" w:themeColor="text1"/>
          <w:szCs w:val="24"/>
          <w:u w:color="000000" w:themeColor="text1"/>
        </w:rPr>
        <w:noBreakHyphen/>
        <w:t>chairman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w:t>
      </w:r>
      <w:r>
        <w:rPr>
          <w:rFonts w:eastAsia="Times New Roman"/>
          <w:strike/>
          <w:color w:val="000000" w:themeColor="text1"/>
          <w:szCs w:val="24"/>
          <w:u w:color="000000" w:themeColor="text1"/>
        </w:rPr>
        <w:t>shall also elect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one member to serve as </w:t>
      </w:r>
      <w:r>
        <w:rPr>
          <w:rFonts w:eastAsia="Times New Roman"/>
          <w:color w:val="000000" w:themeColor="text1"/>
          <w:szCs w:val="24"/>
          <w:u w:color="000000" w:themeColor="text1"/>
        </w:rPr>
        <w:t xml:space="preserve">secretary.  The board shall meet upon the call of its chairman and a majority of its members shall constitute a quorum for the transaction of its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board</w:t>
      </w:r>
      <w:r>
        <w:rPr>
          <w:rFonts w:eastAsia="Times New Roman"/>
          <w:color w:val="000000" w:themeColor="text1"/>
          <w:szCs w:val="24"/>
          <w:u w:color="000000" w:themeColor="text1"/>
        </w:rPr>
        <w:t xml:space="preserve"> shall select one of its members to serve as </w:t>
      </w:r>
      <w:r>
        <w:rPr>
          <w:rFonts w:eastAsia="Times New Roman"/>
          <w:strike/>
          <w:color w:val="000000" w:themeColor="text1"/>
          <w:szCs w:val="24"/>
          <w:u w:color="000000" w:themeColor="text1"/>
        </w:rPr>
        <w:t>its</w:t>
      </w:r>
      <w:r>
        <w:rPr>
          <w:rFonts w:eastAsia="Times New Roman"/>
          <w:color w:val="000000" w:themeColor="text1"/>
          <w:szCs w:val="24"/>
          <w:u w:color="000000" w:themeColor="text1"/>
        </w:rPr>
        <w:t xml:space="preserve"> treasurer. 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treasurer</w:t>
      </w:r>
      <w:r>
        <w:rPr>
          <w:rFonts w:eastAsia="Times New Roman"/>
          <w:color w:val="000000" w:themeColor="text1"/>
          <w:szCs w:val="24"/>
          <w:u w:color="000000" w:themeColor="text1"/>
        </w:rPr>
        <w:t xml:space="preserve"> shall </w:t>
      </w:r>
      <w:r>
        <w:rPr>
          <w:rFonts w:eastAsia="Times New Roman"/>
          <w:strike/>
          <w:color w:val="000000" w:themeColor="text1"/>
          <w:szCs w:val="24"/>
          <w:u w:color="000000" w:themeColor="text1"/>
        </w:rPr>
        <w:t>require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give</w:t>
      </w:r>
      <w:r>
        <w:rPr>
          <w:rFonts w:eastAsia="Times New Roman"/>
          <w:color w:val="000000" w:themeColor="text1"/>
          <w:szCs w:val="24"/>
          <w:u w:color="000000" w:themeColor="text1"/>
        </w:rPr>
        <w:t xml:space="preserve"> a surety bond </w:t>
      </w:r>
      <w:r>
        <w:rPr>
          <w:rFonts w:eastAsia="Times New Roman"/>
          <w:strike/>
          <w:color w:val="000000" w:themeColor="text1"/>
          <w:szCs w:val="24"/>
          <w:u w:color="000000" w:themeColor="text1"/>
        </w:rPr>
        <w:t>of such appointee</w:t>
      </w:r>
      <w:r>
        <w:rPr>
          <w:rFonts w:eastAsia="Times New Roman"/>
          <w:color w:val="000000" w:themeColor="text1"/>
          <w:szCs w:val="24"/>
          <w:u w:color="000000" w:themeColor="text1"/>
        </w:rPr>
        <w:t xml:space="preserve"> in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w:t>
      </w:r>
      <w:r>
        <w:rPr>
          <w:rFonts w:eastAsia="Times New Roman"/>
          <w:color w:val="000000" w:themeColor="text1"/>
          <w:szCs w:val="24"/>
          <w:u w:color="000000" w:themeColor="text1"/>
        </w:rPr>
        <w:t xml:space="preserve"> amount </w:t>
      </w:r>
      <w:r>
        <w:rPr>
          <w:rFonts w:eastAsia="Times New Roman"/>
          <w:strike/>
          <w:color w:val="000000" w:themeColor="text1"/>
          <w:szCs w:val="24"/>
          <w:u w:color="000000" w:themeColor="text1"/>
        </w:rPr>
        <w:t>as the Authority may fix</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fixed by the board</w:t>
      </w:r>
      <w:r>
        <w:rPr>
          <w:rFonts w:eastAsia="Times New Roman"/>
          <w:color w:val="000000" w:themeColor="text1"/>
          <w:szCs w:val="24"/>
          <w:u w:color="000000" w:themeColor="text1"/>
        </w:rPr>
        <w:t xml:space="preserve"> and the premium </w:t>
      </w:r>
      <w:r>
        <w:rPr>
          <w:rFonts w:eastAsia="Times New Roman"/>
          <w:strike/>
          <w:color w:val="000000" w:themeColor="text1"/>
          <w:szCs w:val="24"/>
          <w:u w:color="000000" w:themeColor="text1"/>
        </w:rPr>
        <w:t>thereon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 the bond</w:t>
      </w:r>
      <w:r>
        <w:rPr>
          <w:rFonts w:eastAsia="Times New Roman"/>
          <w:color w:val="000000" w:themeColor="text1"/>
          <w:szCs w:val="24"/>
          <w:u w:color="000000" w:themeColor="text1"/>
        </w:rPr>
        <w:t xml:space="preserve"> shall be paid by 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authority</w:t>
      </w:r>
      <w:r>
        <w:rPr>
          <w:rFonts w:eastAsia="Times New Roman"/>
          <w:color w:val="000000" w:themeColor="text1"/>
          <w:szCs w:val="24"/>
          <w:u w:color="000000" w:themeColor="text1"/>
        </w:rPr>
        <w:t xml:space="preserve"> as a necessary expense </w:t>
      </w:r>
      <w:r>
        <w:rPr>
          <w:rFonts w:eastAsia="Times New Roman"/>
          <w:strike/>
          <w:color w:val="000000" w:themeColor="text1"/>
          <w:szCs w:val="24"/>
          <w:u w:color="000000" w:themeColor="text1"/>
        </w:rPr>
        <w:t>of the Authority</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50.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Members of the board of directors may be removed by the Governor </w:t>
      </w:r>
      <w:r>
        <w:rPr>
          <w:color w:val="000000" w:themeColor="text1"/>
          <w:u w:val="single" w:color="000000" w:themeColor="text1"/>
        </w:rPr>
        <w:t>for malfeasance, misfeasance, incompetency, absenteeism, conflicts of interest, misconduct, persistent neglect of duty in office, incapacity, a breach of duty required by Section 54</w:t>
      </w:r>
      <w:r>
        <w:rPr>
          <w:color w:val="000000" w:themeColor="text1"/>
          <w:u w:val="single" w:color="000000" w:themeColor="text1"/>
        </w:rPr>
        <w:noBreakHyphen/>
        <w:t>3</w:t>
      </w:r>
      <w:r>
        <w:rPr>
          <w:color w:val="000000" w:themeColor="text1"/>
          <w:u w:val="single" w:color="000000" w:themeColor="text1"/>
        </w:rPr>
        <w:noBreakHyphen/>
        <w:t>70, or entering into a conflict of interest transaction prohibited by Section 54</w:t>
      </w:r>
      <w:r>
        <w:rPr>
          <w:color w:val="000000" w:themeColor="text1"/>
          <w:u w:val="single" w:color="000000" w:themeColor="text1"/>
        </w:rPr>
        <w:noBreakHyphen/>
        <w:t>3</w:t>
      </w:r>
      <w:r>
        <w:rPr>
          <w:color w:val="000000" w:themeColor="text1"/>
          <w:u w:val="single" w:color="000000" w:themeColor="text1"/>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60.</w:t>
      </w:r>
      <w:r>
        <w:rPr>
          <w:rFonts w:eastAsia="Times New Roman"/>
          <w:color w:val="000000" w:themeColor="text1"/>
          <w:szCs w:val="24"/>
          <w:u w:val="single" w:color="000000" w:themeColor="text1"/>
        </w:rPr>
        <w:tab/>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Each member of the board must possess abilities and experience that enable them to make valuable contributions to the conduct of the authority’s business.  These abilities include substantial business skills and experience but are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general knowledge of the history, purpose, and operations of the South Carolina Ports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ability to interpret legal and financial documents and information so as to further the activities and affairs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 the assistance of counsel, the ability to understand and apply federal and state laws, rules, and regulations related to the operation of a 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 the assistance of counsel, the ability to understand and apply judicial and administrative decisions as they relate to the activities and affairs of a 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abilities and experience required in subsection (A), each board member must possess a background of at least five years in any one or any combination of the following fields of expertise: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maritime shipping;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organized labor related to maritime shipping;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overland shipping by truck or rail,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international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finance, economics, or statistics;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accounting;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engineering;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color w:val="000000" w:themeColor="text1"/>
          <w:u w:val="single" w:color="000000" w:themeColor="text1"/>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of the Charleston harbor community,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70.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80.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member of the board of directors shall discharge his duties as a director, including his duties as a member of a committee:</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good faith;</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with the care an ordinarily prudent person in a like position would exercise under similar circumstances;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 manner he reasonably believes to be in the best interests of the authority.  As used in this chapter, best interests means a balancing of the following:</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preservation of the financial integrity of the South Carolina State Ports Authority and its ongoing operations;</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economic development and job attraction and retention; and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exercise of the powers of the authority in accordance with good business practices and the requirements of applicable licenses, laws, and regulations.</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discharging his duties, a director is entitled to rely on information, opinions, reports, or statements, including financial statements and other financial data, if prepared or presented by:</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one or more officers or employees of the State whom the director reasonably believes to be reliable and competent in the matters presented;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legal counsel, public accountants, or other persons as to matters the director reasonably believes are within the person’s professional or expert competence; or</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committee of the board of directors of which he is not a member if the director reasonably believes the committee merits confidence.</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director is not acting in good faith if he has knowledge concerning the matter in question that makes reliance otherwise permitted by subsection (B) unwarranted.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director is not liable for any action taken as a director, or any failure to take any action, if he performed the duties of his office in compliance with this section.</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90.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material facts of the transaction and the director’s interest were disclosed or known to the board or a committee of the board, and the board or a committee of the board authorized, approved, or ratified the transaction; or</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transaction was fair to the authority and its customers.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purposes of this section, a director has an indirect interest in a transaction if:</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another entity in which he has a material financial interest or in which he is a general partner is a party to the transaction;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another entity of which he is a director, officer, or trustee is a party to the transaction and the transaction is or should be considered by the board.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100.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There is established the South Carolina State Ports Authority Advisory Board.  The advisory board shall be comprised of eight members appointed to four</w:t>
      </w:r>
      <w:r>
        <w:rPr>
          <w:rFonts w:eastAsia="Times New Roman"/>
          <w:color w:val="000000" w:themeColor="text1"/>
          <w:szCs w:val="24"/>
          <w:u w:val="single" w:color="000000" w:themeColor="text1"/>
        </w:rPr>
        <w:noBreakHyphen/>
        <w:t xml:space="preserve">year terms. One </w:t>
      </w:r>
      <w:r>
        <w:rPr>
          <w:rFonts w:eastAsia="Times New Roman"/>
          <w:color w:val="000000" w:themeColor="text1"/>
          <w:szCs w:val="24"/>
          <w:u w:val="single" w:color="000000" w:themeColor="text1"/>
        </w:rPr>
        <w:lastRenderedPageBreak/>
        <w:t>member must be appointed by the Governor upon recommendation of each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Stevedores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Charleston Harbor Pilots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International Longshoreman’s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Propeller Club of Charleston;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Manufacturer’s Alliance;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Chamber of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South Carolina Trucking Association;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Class 1 Railroad Companies providing freight service to the 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Governor may remove members of the advisory board for </w:t>
      </w:r>
      <w:r>
        <w:rPr>
          <w:color w:val="000000" w:themeColor="text1"/>
          <w:u w:val="single" w:color="000000" w:themeColor="text1"/>
        </w:rPr>
        <w:t>malfeasance, misfeasance, incompetency, absenteeism, conflicts of interest, misconduct, persistent neglect of duty in office, or incapacity</w:t>
      </w:r>
      <w:r>
        <w:rPr>
          <w:rFonts w:eastAsia="Times New Roman"/>
          <w:color w:val="000000" w:themeColor="text1"/>
          <w:szCs w:val="24"/>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advisory board has the following duties and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make an annual written report to the Governor and the General Assembly concerning the state of port operations, the performance of port management, and the performance of the board of directors, collectively and individually;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assist the board with formulating and updating the port’s strategic planning;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fix the compensation and expenses of each authority board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may make recommendations to the Senate Transportation Committee and House of Representatives Ways and Means Committee concerning the removal of board members;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consult and advise the authority board of directors on any and all matters referred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advisory board may also assess the qualifications of appointees to the authority board of directors and forward written assessments to the Senate Transportation Committee for consideration during appointee screening.</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54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PORTS AUTHORITY 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54</w:t>
      </w:r>
      <w:r>
        <w:rPr>
          <w:color w:val="000000" w:themeColor="text1"/>
          <w:u w:color="000000" w:themeColor="text1"/>
        </w:rPr>
        <w:noBreakHyphen/>
        <w:t>3</w:t>
      </w:r>
      <w:r>
        <w:rPr>
          <w:color w:val="000000" w:themeColor="text1"/>
          <w:u w:color="000000" w:themeColor="text1"/>
        </w:rPr>
        <w:noBreakHyphen/>
        <w:t>110.</w:t>
      </w:r>
      <w:r>
        <w:rPr>
          <w:color w:val="000000" w:themeColor="text1"/>
          <w:u w:color="000000" w:themeColor="text1"/>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executive director shall appoint a director for each division contained in the organizational structure established by the board of directors, who shall serve at the pleasure of the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130.</w:t>
      </w:r>
      <w:r>
        <w:rPr>
          <w:color w:val="000000" w:themeColor="text1"/>
          <w:u w:color="000000" w:themeColor="text1"/>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140(5)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Pr>
          <w:strike/>
          <w:color w:val="000000" w:themeColor="text1"/>
          <w:u w:color="000000" w:themeColor="text1"/>
        </w:rPr>
        <w:t>Shall appoint and employ and dismiss at pleasure such employees as may be selected by the board of the Authority and fix and pay the compensation thereof</w:t>
      </w:r>
      <w:r>
        <w:rPr>
          <w:color w:val="000000" w:themeColor="text1"/>
          <w:u w:color="000000" w:themeColor="text1"/>
        </w:rPr>
        <w:t xml:space="preserve"> </w:t>
      </w:r>
      <w:r>
        <w:rPr>
          <w:color w:val="000000" w:themeColor="text1"/>
          <w:u w:val="single" w:color="000000" w:themeColor="text1"/>
        </w:rPr>
        <w:t>Shall adopt an organizational structure for authority operations implemented by the executive director</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140 of the 1976 Code is amended by adding appropriately numbered new items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  )</w:t>
      </w:r>
      <w:r>
        <w:rPr>
          <w:color w:val="000000" w:themeColor="text1"/>
          <w:u w:color="000000" w:themeColor="text1"/>
        </w:rPr>
        <w:tab/>
        <w:t>S</w:t>
      </w:r>
      <w:r>
        <w:rPr>
          <w:color w:val="000000" w:themeColor="text1"/>
          <w:szCs w:val="18"/>
          <w:u w:color="000000" w:themeColor="text1"/>
        </w:rPr>
        <w:t>hall develop a long</w:t>
      </w:r>
      <w:r>
        <w:rPr>
          <w:color w:val="000000" w:themeColor="text1"/>
          <w:szCs w:val="18"/>
          <w:u w:color="000000" w:themeColor="text1"/>
        </w:rPr>
        <w:noBreakHyphen/>
        <w:t>range port development and capital financing plan, with a minimum twenty</w:t>
      </w:r>
      <w:r>
        <w:rPr>
          <w:color w:val="000000" w:themeColor="text1"/>
          <w:szCs w:val="18"/>
          <w:u w:color="000000" w:themeColor="text1"/>
        </w:rPr>
        <w:noBreakHyphen/>
        <w:t xml:space="preserve">year forecast period at the time of adoption that provides for the promotion, development, </w:t>
      </w:r>
      <w:r>
        <w:rPr>
          <w:color w:val="000000" w:themeColor="text1"/>
          <w:szCs w:val="18"/>
          <w:u w:color="000000" w:themeColor="text1"/>
        </w:rPr>
        <w:lastRenderedPageBreak/>
        <w:t>construction, equipping, maintaining, and operation of the state’s harbors and seaports to maximize their economic benefit to the State.  The plan must be revised at least every five years, to reflect and account for changing conditions.  The long</w:t>
      </w:r>
      <w:r>
        <w:rPr>
          <w:color w:val="000000" w:themeColor="text1"/>
          <w:szCs w:val="18"/>
          <w:u w:color="000000" w:themeColor="text1"/>
        </w:rPr>
        <w:noBreakHyphen/>
        <w:t>range plan must be submitted to the Senate Transportation Committee, the House of Representatives Ways and Means Committee, and the advisory committee for consideration and comment prior to its final adoption by the board.  The board must address each recommendation made by the committees in its final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  )</w:t>
      </w:r>
      <w:r>
        <w:rPr>
          <w:color w:val="000000" w:themeColor="text1"/>
          <w:szCs w:val="18"/>
          <w:u w:color="000000" w:themeColor="text1"/>
        </w:rPr>
        <w:tab/>
        <w:t>Shall review port operations and proposals for future operations and construction to determine whether utilizing a public</w:t>
      </w:r>
      <w:r>
        <w:rPr>
          <w:color w:val="000000" w:themeColor="text1"/>
          <w:szCs w:val="18"/>
          <w:u w:color="000000" w:themeColor="text1"/>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1040.</w:t>
      </w:r>
      <w:r>
        <w:rPr>
          <w:color w:val="000000" w:themeColor="text1"/>
          <w:u w:color="000000" w:themeColor="text1"/>
        </w:rPr>
        <w:tab/>
        <w:t xml:space="preserve">At least once in each year the Authority shall publish once in some newspaper published in Charleston County a complete detailed statement of all moneys received and disbursed by the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 xml:space="preserve"> during the preceding year.  </w:t>
      </w:r>
      <w:r>
        <w:rPr>
          <w:color w:val="000000" w:themeColor="text1"/>
          <w:u w:val="single" w:color="000000" w:themeColor="text1"/>
        </w:rPr>
        <w:t>The statement must also be forwarded to the South Carolina State Ports Authority Advisory Committee and the Chairman of the Senate Transportation Committee and the Chairman of the House of Representatives Ways and Means Committee.</w:t>
      </w:r>
      <w:r>
        <w:rPr>
          <w:color w:val="000000" w:themeColor="text1"/>
          <w:u w:color="000000" w:themeColor="text1"/>
        </w:rPr>
        <w:t xml:space="preserve">  Such statement shall also show the several sources from which such funds were received and the balance on hand at the time of publishing the statement and shall show the complete financial condition of the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Article 11, Chapter 3, Title 54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1060.</w:t>
      </w:r>
      <w:r>
        <w:rPr>
          <w:color w:val="000000" w:themeColor="text1"/>
          <w:u w:color="000000" w:themeColor="text1"/>
        </w:rPr>
        <w:tab/>
        <w:t>(A)</w:t>
      </w:r>
      <w:r>
        <w:rPr>
          <w:color w:val="000000" w:themeColor="text1"/>
          <w:u w:color="000000" w:themeColor="text1"/>
        </w:rPr>
        <w:tab/>
        <w:t xml:space="preserve">For the purposes of this section, </w:t>
      </w:r>
      <w:r>
        <w:rPr>
          <w:rFonts w:eastAsia="Times New Roman"/>
          <w:color w:val="000000" w:themeColor="text1"/>
          <w:szCs w:val="18"/>
          <w:u w:color="000000" w:themeColor="text1"/>
        </w:rPr>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Pr>
          <w:rFonts w:eastAsia="Times New Roman"/>
          <w:color w:val="000000" w:themeColor="text1"/>
          <w:szCs w:val="20"/>
          <w:u w:color="000000" w:themeColor="text1"/>
        </w:rPr>
        <w:t>The authority shall maintain a transaction register that includes a complete record of all funds expended over one hundred dollars, from whatever source for whatever purpose.  The register must be prominently posted on the authority’s internet website and made available for public viewing and downloading.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(1)(a)</w:t>
      </w:r>
      <w:r>
        <w:rPr>
          <w:rFonts w:eastAsia="Times New Roman"/>
          <w:color w:val="000000" w:themeColor="text1"/>
          <w:szCs w:val="20"/>
          <w:u w:color="000000" w:themeColor="text1"/>
        </w:rPr>
        <w:tab/>
        <w:t>The register must include for each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the transaction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the name of the payee;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a statement providing a detailed description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register must not include an entry for salary, wages, or other compensation paid to individual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The register must not include any information that can be used to identify an individual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register must be accompanied by a complete explanation of any codes or acronyms used to identify a payee or an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register must be searchable and updated at least once a month.  Each monthly register must be maintained on the internet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authority shall also maintain on its internet website a copy of each monthly statement for all of the credit cards maintained by the authority, including credit cards issued to its officers or employees for official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credit card number and any information that can be used to identify an individual employee on each statement must be redacted prior to posting on the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Chapter 3, Title 54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LEGISLATIVE OVERSIGHT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Senate Transportation Committee and the House of Representatives Ways and Means Committee must each conduct an oversight review of the authority </w:t>
      </w:r>
      <w:r>
        <w:rPr>
          <w:color w:val="000000" w:themeColor="text1"/>
          <w:u w:color="000000" w:themeColor="text1"/>
        </w:rPr>
        <w:lastRenderedPageBreak/>
        <w:t>and its operations at least once every two years.  The committees may coordinate their reviews to reduce duplication.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rFonts w:eastAsia="Times New Roman"/>
          <w:color w:val="000000" w:themeColor="text1"/>
          <w:szCs w:val="20"/>
          <w:u w:color="000000" w:themeColor="text1"/>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A written report of the findings from each oversight review must be </w:t>
      </w:r>
      <w:r>
        <w:rPr>
          <w:color w:val="000000" w:themeColor="text1"/>
          <w:szCs w:val="18"/>
          <w:u w:color="000000" w:themeColor="text1"/>
        </w:rPr>
        <w:t xml:space="preserve">published in the journals of both houses </w:t>
      </w:r>
      <w:r>
        <w:rPr>
          <w:rFonts w:eastAsia="Times New Roman"/>
          <w:color w:val="000000" w:themeColor="text1"/>
          <w:szCs w:val="20"/>
          <w:u w:color="000000" w:themeColor="text1"/>
        </w:rPr>
        <w:t>and made available on the General Assembly’s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Each committee may undertake any additional reviews, studies, or evaluations as it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1310.</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oversight report required by this article must at least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Pr>
          <w:color w:val="000000" w:themeColor="text1"/>
          <w:u w:color="000000" w:themeColor="text1"/>
        </w:rPr>
        <w:tab/>
      </w:r>
      <w:r>
        <w:rPr>
          <w:rFonts w:eastAsia="Times New Roman"/>
          <w:color w:val="000000" w:themeColor="text1"/>
          <w:szCs w:val="24"/>
          <w:u w:color="000000" w:themeColor="text1"/>
        </w:rPr>
        <w:t>(1)</w:t>
      </w:r>
      <w:r>
        <w:rPr>
          <w:rFonts w:eastAsia="Times New Roman"/>
          <w:color w:val="000000" w:themeColor="text1"/>
          <w:szCs w:val="24"/>
          <w:u w:color="000000" w:themeColor="text1"/>
        </w:rPr>
        <w:tab/>
        <w:t>a performance review of each member of the board during the previous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a performance review of the South Carolina State Ports Authority executive director;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an evaluation of the actions of the board, sufficient to allow the members of the General Assembly to better judge whether these actions serve the best interests of the citizens of South Carolina, both individual and corporate.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knowledge and application of substantive port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ability to perceive relevant issues;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absence of influence by political considerations;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absence of influence by identities of labor unions;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courtesy to all persons appearing before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temperament and demeanor in general, preparation for hearings, and attentiveness during hearings;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t>any other issue the committee deems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1320.</w:t>
      </w:r>
      <w:r>
        <w:rPr>
          <w:rFonts w:eastAsia="Times New Roman"/>
          <w:color w:val="000000" w:themeColor="text1"/>
          <w:szCs w:val="24"/>
          <w:u w:color="000000" w:themeColor="text1"/>
        </w:rPr>
        <w:tab/>
      </w:r>
      <w:r>
        <w:rPr>
          <w:rFonts w:eastAsia="Times New Roman"/>
          <w:color w:val="000000" w:themeColor="text1"/>
          <w:szCs w:val="24"/>
          <w:u w:color="000000" w:themeColor="text1"/>
        </w:rPr>
        <w:tab/>
        <w:t xml:space="preserve">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w:t>
      </w:r>
      <w:r>
        <w:rPr>
          <w:rFonts w:eastAsia="Times New Roman"/>
          <w:color w:val="000000" w:themeColor="text1"/>
          <w:szCs w:val="24"/>
          <w:u w:color="000000" w:themeColor="text1"/>
        </w:rPr>
        <w:lastRenderedPageBreak/>
        <w:t>review or evaluation, as the case may be, is final.  The final performance review of a board member must be made a part of the member’s record for consideration if the member seeks reelection to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7F1062-2BCE-4E1A-94AD-2FF14C05774A}"/>
    <w:embedBold r:id="rId2" w:fontKey="{CFB0E7F1-2882-4A90-B103-8C82AA32B2EC}"/>
  </w:font>
  <w:font w:name="Calibri">
    <w:panose1 w:val="020F0502020204030204"/>
    <w:charset w:val="00"/>
    <w:family w:val="swiss"/>
    <w:pitch w:val="variable"/>
    <w:sig w:usb0="A00002EF" w:usb1="4000207B" w:usb2="00000000" w:usb3="00000000" w:csb0="0000009F" w:csb1="00000000"/>
    <w:embedRegular r:id="rId3" w:fontKey="{72E90199-283A-4A64-A712-D9144F1BDCD9}"/>
  </w:font>
  <w:font w:name="Tahoma">
    <w:panose1 w:val="020B0604030504040204"/>
    <w:charset w:val="00"/>
    <w:family w:val="swiss"/>
    <w:pitch w:val="variable"/>
    <w:sig w:usb0="61002A87" w:usb1="80000000" w:usb2="00000008" w:usb3="00000000" w:csb0="000101FF" w:csb1="00000000"/>
    <w:embedRegular r:id="rId4" w:fontKey="{0A912767-6C71-41DE-93D3-9396F2EF6419}"/>
  </w:font>
  <w:font w:name="Cambria">
    <w:panose1 w:val="02040503050406030204"/>
    <w:charset w:val="00"/>
    <w:family w:val="roman"/>
    <w:pitch w:val="variable"/>
    <w:sig w:usb0="A00002EF" w:usb1="4000004B" w:usb2="00000000" w:usb3="00000000" w:csb0="0000009F" w:csb1="00000000"/>
    <w:embedRegular r:id="rId5" w:fontKey="{AA789166-5672-44F2-87DF-74BC4E73C8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3369</Words>
  <Characters>19206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2009-01-29T14:58:00Z</cp:lastPrinted>
  <dcterms:created xsi:type="dcterms:W3CDTF">2009-01-29T16:56:00Z</dcterms:created>
  <dcterms:modified xsi:type="dcterms:W3CDTF">2009-01-29T16:56:00Z</dcterms:modified>
</cp:coreProperties>
</file>