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3395 ENACTING THE “LONG-TERM CARE INCOME TAX CREDIT ACT” BY ALLOWING A STATE INDIVIDUAL INCOME TAX CREDIT OF TWENTY</w:t>
      </w:r>
      <w:r>
        <w:noBreakHyphen/>
        <w:t>FIVE PERCENT OF THE TOTAL AMOUNT OF PREMIUMS PAID BY A TAXPAYER PURSUANT TO A LONG</w:t>
      </w:r>
      <w:r>
        <w:noBreakHyphen/>
        <w:t>TERM CARE INSURANCE CONTRACT, UP TO ONE THOUSAND DOLLARS FOR EACH TAXABLE YEAR FOR EACH CONTRACT, TO PROHIBIT A DOUBLE BENEFIT, AND TO MAKE THIS CREDIT RETROACTIVE FOR TAXABLE YEARS BEGINNING AFTER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“Long</w:t>
      </w:r>
      <w:r>
        <w:noBreakHyphen/>
        <w:t>Term Care Income Tax Credit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2.</w:t>
      </w:r>
      <w:r>
        <w:tab/>
      </w:r>
      <w:r>
        <w:rPr>
          <w:rFonts w:eastAsiaTheme="minorHAnsi"/>
          <w:szCs w:val="22"/>
        </w:rPr>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12</w:t>
      </w:r>
      <w:r>
        <w:rPr>
          <w:rFonts w:eastAsiaTheme="minorHAnsi"/>
          <w:szCs w:val="22"/>
        </w:rPr>
        <w:noBreakHyphen/>
        <w:t>6</w:t>
      </w:r>
      <w:r>
        <w:rPr>
          <w:rFonts w:eastAsiaTheme="minorHAnsi"/>
          <w:szCs w:val="22"/>
        </w:rPr>
        <w:noBreakHyphen/>
        <w:t>3395.</w:t>
      </w:r>
      <w:r>
        <w:rPr>
          <w:rFonts w:eastAsiaTheme="minorHAnsi"/>
          <w:szCs w:val="22"/>
        </w:rPr>
        <w:tab/>
        <w:t>(A)</w:t>
      </w:r>
      <w:r>
        <w:rPr>
          <w:rFonts w:eastAsiaTheme="minorHAnsi"/>
          <w:szCs w:val="22"/>
        </w:rPr>
        <w:tab/>
        <w:t>An individual taxpayer may claim as a credit against the income tax imposed by this chapter an amount equal to twenty</w:t>
      </w:r>
      <w:r>
        <w:rPr>
          <w:rFonts w:eastAsiaTheme="minorHAnsi"/>
          <w:szCs w:val="22"/>
        </w:rPr>
        <w:noBreakHyphen/>
        <w:t>five percent of the premium costs the individual paid during the taxable year on a qualified contract for long</w:t>
      </w:r>
      <w:r>
        <w:rPr>
          <w:rFonts w:eastAsiaTheme="minorHAnsi"/>
          <w:szCs w:val="22"/>
        </w:rPr>
        <w:noBreakHyphen/>
        <w:t>term care insurance, as defined in Section 38</w:t>
      </w:r>
      <w:r>
        <w:rPr>
          <w:rFonts w:eastAsiaTheme="minorHAnsi"/>
          <w:szCs w:val="22"/>
        </w:rPr>
        <w:noBreakHyphen/>
        <w:t>72</w:t>
      </w:r>
      <w:r>
        <w:rPr>
          <w:rFonts w:eastAsiaTheme="minorHAnsi"/>
          <w:szCs w:val="22"/>
        </w:rPr>
        <w:noBreakHyphen/>
        <w:t>40(1), that offers coverage to the individual, his spouse, or a dependent for whom he was allowed to deduct a personal exemption on his federal individual income tax return for the taxable year.  The credit allowed by this section may not exceed one thousand dollars for each qualifying individual covered by one or more qualified long</w:t>
      </w:r>
      <w:r>
        <w:rPr>
          <w:rFonts w:eastAsiaTheme="minorHAnsi"/>
          <w:szCs w:val="22"/>
        </w:rPr>
        <w:noBreakHyphen/>
        <w:t xml:space="preserve">term care insurance contracts for which a credit is claimed.  </w:t>
      </w:r>
      <w:r>
        <w:rPr>
          <w:rFonts w:eastAsiaTheme="minorHAnsi"/>
          <w:szCs w:val="22"/>
        </w:rPr>
        <w:lastRenderedPageBreak/>
        <w:t>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Pr>
          <w:rFonts w:eastAsiaTheme="minorHAnsi"/>
          <w:szCs w:val="22"/>
        </w:rPr>
        <w:noBreakHyphen/>
        <w:t>6</w:t>
      </w:r>
      <w:r>
        <w:rPr>
          <w:rFonts w:eastAsiaTheme="minorHAnsi"/>
          <w:szCs w:val="22"/>
        </w:rPr>
        <w:noBreakHyphen/>
        <w:t>1720(2).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Upon approval by the Governor, the act is effective for taxable years beginning after 2007</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FBF54-6AC3-436A-9B39-B236481B33CE}"/>
    <w:embedBold r:id="rId2" w:fontKey="{F4C5F022-30F1-4C9D-8E66-1BBB949E63BC}"/>
  </w:font>
  <w:font w:name="Calibri">
    <w:panose1 w:val="020F0502020204030204"/>
    <w:charset w:val="00"/>
    <w:family w:val="swiss"/>
    <w:pitch w:val="variable"/>
    <w:sig w:usb0="A00002EF" w:usb1="4000207B" w:usb2="00000000" w:usb3="00000000" w:csb0="0000009F" w:csb1="00000000"/>
    <w:embedRegular r:id="rId3" w:fontKey="{44FEE342-D406-4B16-BBAE-D417380835D4}"/>
  </w:font>
  <w:font w:name="Cambria">
    <w:panose1 w:val="02040503050406030204"/>
    <w:charset w:val="00"/>
    <w:family w:val="roman"/>
    <w:pitch w:val="variable"/>
    <w:sig w:usb0="A00002EF" w:usb1="4000004B" w:usb2="00000000" w:usb3="00000000" w:csb0="0000009F" w:csb1="00000000"/>
    <w:embedRegular r:id="rId4" w:fontKey="{3A5D85A2-F1AE-46E3-9EBA-B07A9B3D6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3HTC09"/>
    <w:docVar w:name="CoverBillType" w:val="b"/>
    <w:docVar w:name="docpath" w:val="L:\Council\bills\BBM\9143HTC09.DOCX"/>
    <w:docVar w:name="dvBillNumber" w:val="353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2228</Characters>
  <Application>Microsoft Office Word</Application>
  <DocSecurity>0</DocSecurity>
  <Lines>18</Lines>
  <Paragraphs>5</Paragraphs>
  <ScaleCrop>false</ScaleCrop>
  <Company> </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2009-02-12T16:47:00Z</dcterms:created>
  <dcterms:modified xsi:type="dcterms:W3CDTF">2009-02-12T16:47:00Z</dcterms:modified>
</cp:coreProperties>
</file>