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must be present in each school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‘Dating violence’ means a pattern of behavior in which one person uses threats of, or actually uses, physical, sexual, verbal </w:t>
      </w:r>
      <w:r>
        <w:rPr>
          <w:rFonts w:eastAsiaTheme="minorHAnsi"/>
          <w:color w:val="000000" w:themeColor="text1"/>
          <w:szCs w:val="22"/>
          <w:u w:color="000000" w:themeColor="text1"/>
        </w:rPr>
        <w:lastRenderedPageBreak/>
        <w:t>or emotional abuse to control his or her dating partner, or who engages in stalking as defined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1700(C).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‘Dating partner’ means a person, regardless of gender, involved in an intimate relationship with another, primarily characterized by the expectation of affectionate involvement whether casual, serious, or long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‘At school’ means in a classroom, on or immediately adjacent to school premises, on a school bus or other school</w:t>
      </w:r>
      <w:r>
        <w:rPr>
          <w:rFonts w:eastAsiaTheme="minorHAnsi"/>
          <w:color w:val="000000" w:themeColor="text1"/>
          <w:szCs w:val="22"/>
          <w:u w:color="000000" w:themeColor="text1"/>
        </w:rPr>
        <w:noBreakHyphen/>
        <w:t>related vehicle, at an official school bus stop, or at a school</w:t>
      </w:r>
      <w:r>
        <w:rPr>
          <w:rFonts w:eastAsiaTheme="minorHAnsi"/>
          <w:color w:val="000000" w:themeColor="text1"/>
          <w:szCs w:val="22"/>
          <w:u w:color="000000" w:themeColor="text1"/>
        </w:rPr>
        <w:noBreakHyphen/>
        <w:t>sponsored activity or event whether or not it takes place on school grounds.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‘Department’ means the South Carolina Department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December 1, 2009, the department shall develop a model dating violence policy to assist school districts in developing policies for reporting and responding to dating violence.  This policy must include, but is not limited to, a statement that dating violence will not be tolerated, dating violence reporting procedures, guidelines for responding to at</w:t>
      </w:r>
      <w:r>
        <w:rPr>
          <w:rFonts w:eastAsiaTheme="minorHAnsi"/>
          <w:color w:val="000000" w:themeColor="text1"/>
          <w:szCs w:val="22"/>
          <w:u w:color="000000" w:themeColor="text1"/>
        </w:rPr>
        <w:noBreakHyphen/>
        <w:t>school incidents of dating violence, and disciplinary procedures specific to these incidents.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By the beginning of the 2010</w:t>
      </w:r>
      <w:r>
        <w:rPr>
          <w:rFonts w:eastAsiaTheme="minorHAnsi"/>
          <w:color w:val="000000" w:themeColor="text1"/>
          <w:szCs w:val="22"/>
          <w:u w:color="000000" w:themeColor="text1"/>
        </w:rPr>
        <w:noBreakHyphen/>
        <w:t>2011 school year, each school district shall establish a specific policy to address incidents of dating violence involving students.  Each school district annually shall verify with the department compliance with this provision, in a manner established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To ensure notice of the school district’s dating violence policy, the policy must be published in school and school district handbooks or any publications on the school or district website that provides the rules, procedures, or standards of conduct for students at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school district shall inform the students’ parents or legal guardians of a the school district’s dating violence policy.  Upon request, the school district shall provide parents or legal guardians with the school district’s dating violence policy and relevant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prevent a victim from seeking redress under any other available law, either civil or criminal.  This section does not create or alter any tort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98EC38-C503-4CB9-B04E-A0F45329681D}"/>
    <w:embedBold r:id="rId2" w:fontKey="{E0111F21-D4A5-49A6-AD5A-DED57C295BDD}"/>
  </w:font>
  <w:font w:name="Calibri">
    <w:panose1 w:val="020F0502020204030204"/>
    <w:charset w:val="00"/>
    <w:family w:val="swiss"/>
    <w:pitch w:val="variable"/>
    <w:sig w:usb0="A00002EF" w:usb1="4000207B" w:usb2="00000000" w:usb3="00000000" w:csb0="0000009F" w:csb1="00000000"/>
    <w:embedRegular r:id="rId3" w:fontKey="{E5B397CC-A5A2-4A66-9B75-DF2E6B483521}"/>
  </w:font>
  <w:font w:name="Tahoma">
    <w:panose1 w:val="020B0604030504040204"/>
    <w:charset w:val="00"/>
    <w:family w:val="swiss"/>
    <w:pitch w:val="variable"/>
    <w:sig w:usb0="61002A87" w:usb1="80000000" w:usb2="00000008" w:usb3="00000000" w:csb0="000101FF" w:csb1="00000000"/>
    <w:embedRegular r:id="rId4" w:fontKey="{95E1F4F0-7020-4B5C-A05E-6CCD3661A98B}"/>
  </w:font>
  <w:font w:name="Cambria">
    <w:panose1 w:val="02040503050406030204"/>
    <w:charset w:val="00"/>
    <w:family w:val="roman"/>
    <w:pitch w:val="variable"/>
    <w:sig w:usb0="A00002EF" w:usb1="4000004B" w:usb2="00000000" w:usb3="00000000" w:csb0="0000009F" w:csb1="00000000"/>
    <w:embedRegular r:id="rId5" w:fontKey="{1C2572C2-8344-4E01-B4FE-44C291A040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76BH09"/>
    <w:docVar w:name="CoverBillType" w:val="b"/>
    <w:docVar w:name="docpath" w:val="L:\Council\bills\NBD\11276BH09.DOCX"/>
    <w:docVar w:name="dvBillNumber" w:val="354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2009-02-17T14:16:00Z</cp:lastPrinted>
  <dcterms:created xsi:type="dcterms:W3CDTF">2009-02-17T17:34:00Z</dcterms:created>
  <dcterms:modified xsi:type="dcterms:W3CDTF">2009-02-17T17:34:00Z</dcterms:modified>
</cp:coreProperties>
</file>