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23</w:t>
      </w:r>
      <w:r>
        <w:noBreakHyphen/>
        <w:t>1</w:t>
      </w:r>
      <w:r>
        <w:noBreakHyphen/>
        <w:t>240 SO AS TO PROVIDE THAT LAW ENFORCEMENT OFFICIALS WITH APPROPRIATE JURISDICTION SHALL NOT CHARGE A CHARITABLE, RELIGIOUS, OR ELEEMOSYNARY ORGANIZATION CONDUCTING A RAFFLE FOR THE BENEFIT OF THE ORGANIZATION WHERE ALL THE PROCEEDS INURE TO THE BENEFIT OF THE ORGANIZATION, AND ANY INDIVIDUALS ASSOCIATED WITH CONDUCTING THE RAFFLE, WITH A VIOLATION OF LAW BUT INSTEAD SHALL INFORM THEM IN WRITING THAT THE CONDUCT OF THE RAFFLE VIOLATES STATE LAW, AND TO PROVIDE FOR CERTAIN CONDITIONS AND LIMITATIONS FOR THIS PROVISION TO APPLY.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23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1</w:t>
      </w:r>
      <w:r>
        <w:noBreakHyphen/>
        <w:t>240.</w:t>
      </w:r>
      <w:r>
        <w:tab/>
        <w:t xml:space="preserve">Law enforcement officials with appropriate jurisdiction shall not charge a charitable, religious, or eleemosynary organization conducting a raffle for the benefit of the organization where all the proceeds inure to the benefit of the organization, and any individuals associated with conducting the raffle, with a violation of law but instead shall inform them in writing that the conduct of the raffle violates state law.  For this section to apply, no portion of the raffle proceeds may go to pay any salaries, fees, or benefits for the individuals or entities involved.  A charitable, religious, or eleemosynary organization to </w:t>
      </w:r>
      <w:r>
        <w:lastRenderedPageBreak/>
        <w:t>which this section applies may not conduct more than two such raffles a calendar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3AA879-7D63-4C4C-84C9-CF67C7626DED}"/>
    <w:embedBold r:id="rId2" w:fontKey="{EBD92875-7402-4F5F-A25D-BDFA3A8F5DCF}"/>
  </w:font>
  <w:font w:name="Calibri">
    <w:panose1 w:val="020F0502020204030204"/>
    <w:charset w:val="00"/>
    <w:family w:val="swiss"/>
    <w:pitch w:val="variable"/>
    <w:sig w:usb0="A00002EF" w:usb1="4000207B" w:usb2="00000000" w:usb3="00000000" w:csb0="0000009F" w:csb1="00000000"/>
    <w:embedRegular r:id="rId3" w:fontKey="{4C972D3E-16FE-4CA2-B53F-86FE605DD611}"/>
  </w:font>
  <w:font w:name="Cambria">
    <w:panose1 w:val="02040503050406030204"/>
    <w:charset w:val="00"/>
    <w:family w:val="roman"/>
    <w:pitch w:val="variable"/>
    <w:sig w:usb0="A00002EF" w:usb1="4000004B" w:usb2="00000000" w:usb3="00000000" w:csb0="0000009F" w:csb1="00000000"/>
    <w:embedRegular r:id="rId4" w:fontKey="{B09B83A0-DFCE-474B-9270-826618AFD3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18SD09"/>
    <w:docVar w:name="CoverBillType" w:val="b"/>
    <w:docVar w:name="docpath" w:val="L:\Council\bills\GJK\20118SD09.DOCX"/>
    <w:docVar w:name="dvBillNumber" w:val="3544"/>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235</Words>
  <Characters>1346</Characters>
  <Application>Microsoft Office Word</Application>
  <DocSecurity>0</DocSecurity>
  <Lines>11</Lines>
  <Paragraphs>3</Paragraphs>
  <ScaleCrop>false</ScaleCrop>
  <Company> </Company>
  <LinksUpToDate>false</LinksUpToDate>
  <CharactersWithSpaces>1578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2009-02-12T20:03:00Z</cp:lastPrinted>
  <dcterms:created xsi:type="dcterms:W3CDTF">2009-02-17T17:34:00Z</dcterms:created>
  <dcterms:modified xsi:type="dcterms:W3CDTF">2009-02-17T17:34:00Z</dcterms:modified>
</cp:coreProperties>
</file>