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pStyle w:val="Numbersforbill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2" w:name="titletop"/>
      <w:bookmarkEnd w:id="2"/>
      <w:r>
        <w:rPr>
          <w:rFonts w:eastAsiaTheme="minorHAnsi"/>
          <w:color w:val="000000" w:themeColor="text1"/>
          <w:szCs w:val="22"/>
          <w:u w:color="000000" w:themeColor="text1"/>
        </w:rPr>
        <w:t>TO AMEND THE CODE OF LAWS OF SOUTH CAROLINA, 1976, BY ADDING SECTION 48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  <w:t>1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  <w:t>65 SO AS TO PROVIDE A PERSON WHO POLLUTES THE WATERS OF THIS STATE AS DEFINED BY THE DEPARTMENT OF HEALTH AND ENVIRONMENTAL CONTROL SHALL GIVE PUBLIC NOTICE OF THE POLLUTION IN A MANNER PRESCRIBED BY THE DEPARTMENT; TO PROVIDE THE BOARD OF THE DEPARTMENT SHALL PRESCRIBE THIS PUBLIC NOTICE PROCEDURE; TO PROVIDE CERTAIN SPECIFICATIONS THE BOARD MUST INCLUDE IN THIS PUBLIC NOTICE PROCEDURE; AND TO PROVIDE A VIOLATION IS A MISDEMEANOR SUBJECT TO A FINE, IMPRISONMENT, OR BOTH.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>SECTION</w:t>
      </w:r>
      <w:r>
        <w:tab/>
        <w:t>1.</w:t>
      </w:r>
      <w:r>
        <w:tab/>
        <w:t>Chapter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1, Title 48 of the 1976 Code is amended by adding: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ab/>
        <w:t>“Section 48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  <w:t>1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  <w:t>65.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(A)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 xml:space="preserve">A person who causes a polluted condition in the waters of this State based on his exceeding a threshold or violating a standard of water quality and purity promulgated by the department or in violation of a permit issued by the department, as soon as practicable shall give public notice of the polluted condition or violation.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ab/>
        <w:t>(B)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 xml:space="preserve">The board shall prescribe a procedure for this public notice, including a procedure for notification by publication in a newspaper of general circulation, and other notification considered appropriate by the board including emergency notification of local media outlets, posting relevant notification information on the </w:t>
      </w:r>
      <w:r>
        <w:rPr>
          <w:rFonts w:eastAsiaTheme="minorHAnsi"/>
          <w:color w:val="000000" w:themeColor="text1"/>
          <w:szCs w:val="22"/>
          <w:u w:color="000000" w:themeColor="text1"/>
        </w:rPr>
        <w:lastRenderedPageBreak/>
        <w:t>department’s Internet website, and provision of notice by email to a member of the public who has requested this information.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ab/>
        <w:t>(C)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A person who violates this section is guilty of a misdemeanor and, upon conviction, must be fined not more than two hundred dollars for each day’s violation, imprisoned not more than thirty days, or both.”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SECTION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2.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7E001AC-022E-4E00-8DFC-AB916BDA4F6B}"/>
    <w:embedBold r:id="rId2" w:fontKey="{0596BBBE-75BA-4EAC-B78F-2854D920A25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0F7DF42-2628-4951-A2F7-3734D99B652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BE18DE7C-2B52-4BC6-A691-14B14F1642A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C18B9F9-919B-4C11-98B1-C75F5556647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[3603]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22252AB09"/>
    <w:docVar w:name="CoverBillType" w:val="b"/>
    <w:docVar w:name="docpath" w:val="L:\Council\bills\GGS\22252AB09.DOCX"/>
    <w:docVar w:name="dvBillNumber" w:val="3603"/>
    <w:docVar w:name="dvBillNumberPrefix" w:val="H. "/>
    <w:docVar w:name="dvOriginalBody" w:val="House"/>
    <w:docVar w:name="dvSteno" w:val="GGS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268</Words>
  <Characters>1533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GGS</dc:creator>
  <cp:keywords/>
  <dc:description/>
  <cp:lastModifiedBy>NSC</cp:lastModifiedBy>
  <cp:revision>2</cp:revision>
  <cp:lastPrinted>2009-02-24T16:04:00Z</cp:lastPrinted>
  <dcterms:created xsi:type="dcterms:W3CDTF">2009-02-25T15:18:00Z</dcterms:created>
  <dcterms:modified xsi:type="dcterms:W3CDTF">2009-02-25T15:18:00Z</dcterms:modified>
</cp:coreProperties>
</file>