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40, AS AMENDED, CODE OF LAWS OF SOUTH CAROLINA, 1976, RELATING TO DEFINITIONS OF THE CHARTER SCHOOL CHAPTER, SO AS TO AMEND THE DEFINITION OF “CHARTER SCHOOL” TO ALLOW AN APPLICANT TO SEEK TO FORM A SINGLE SEX CHARTER SCHOOL WITHOUT REGARD TO THE GENDER MAKEUP OF THAT PROPOSED CHARTER SCHOOL; AND TO AMEND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 AS AMENDED, RELATING TO POWERS AND DUTIES OF A CHARTER SCHOOL, SO AS TO MAKE EXCEPTIONS FOR THE APPLICATION TO CREATE A SINGLE GENDER CHARTER SCHOOL TO THE REQUIREMENTS THAT CHARTER SCHOOLS ADMIT ALL CHILDREN ELIGIBLE TO ATTEND PUBLIC SCHOOL AND THAT CHARTER SCHOOLS MAY NOT DENY ADMISSION OR SHOW PREFERENCE TO A GROUP OF INDIVIDUALS,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40(2)(b)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color w:val="000000" w:themeColor="text1"/>
          <w:szCs w:val="24"/>
          <w:u w:color="000000" w:themeColor="text1"/>
        </w:rPr>
        <w:t xml:space="preserve">is subject to all federal and state laws and constitutional provisions prohibiting discrimination on the basis of disability, race, creed, color, gender, national origin, religion, ancestry, or need for special education services; </w:t>
      </w:r>
      <w:r>
        <w:rPr>
          <w:color w:val="000000" w:themeColor="text1"/>
          <w:szCs w:val="24"/>
          <w:u w:val="single" w:color="000000" w:themeColor="text1"/>
        </w:rPr>
        <w:t>however, an applicant may seek to form a single sex charter school without regard to the gender makeup of that proposed charter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50(B)(7) of the 1976 Code, as last amended by Act 274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admit all children eligible to attend public school to a charter school, subject to space limitations</w:t>
      </w:r>
      <w:r>
        <w:rPr>
          <w:rFonts w:eastAsiaTheme="minorHAnsi"/>
          <w:color w:val="000000" w:themeColor="text1"/>
          <w:szCs w:val="22"/>
          <w:u w:val="single" w:color="000000" w:themeColor="text1"/>
        </w:rPr>
        <w:t>, except in the case of an application to create a single gender charter school</w:t>
      </w:r>
      <w:r>
        <w:rPr>
          <w:rFonts w:eastAsiaTheme="minorHAnsi"/>
          <w:color w:val="000000" w:themeColor="text1"/>
          <w:szCs w:val="22"/>
          <w:u w:color="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70(D).  If the number of applications exceeds the capacity of a program, class, grade level, or building, students must be accepted by lot, and there is no appeal to the sponsor;”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50(B)(8) of the 1976 Code, as last amended by Act 239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not limit or deny admission or show preference in admission decisions to any individual or group of individuals</w:t>
      </w:r>
      <w:r>
        <w:rPr>
          <w:rFonts w:eastAsiaTheme="minorHAnsi"/>
          <w:color w:val="000000" w:themeColor="text1"/>
          <w:szCs w:val="22"/>
          <w:u w:val="single" w:color="000000" w:themeColor="text1"/>
        </w:rPr>
        <w:t>, except in the case of an application to create a single gender charter school</w:t>
      </w:r>
      <w:r>
        <w:rPr>
          <w:rFonts w:eastAsiaTheme="minorHAnsi"/>
          <w:color w:val="000000" w:themeColor="text1"/>
          <w:szCs w:val="22"/>
          <w:u w:color="000000" w:themeColor="text1"/>
        </w:rPr>
        <w:t xml:space="preserve">;  however, a charter school may give enrollment priority to a sibling of a pupil already enrolled or previously enrolled, children of a charter school employee, and children of the charter committee,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priority enrollment does not constitute more than twenty percent of the enrollment of the charter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FE161-1DDD-4693-A4E8-469F78652259}"/>
    <w:embedBold r:id="rId2" w:fontKey="{5D9CBB8F-ED1F-449A-9003-09F4A6895ABD}"/>
  </w:font>
  <w:font w:name="Calibri">
    <w:panose1 w:val="020F0502020204030204"/>
    <w:charset w:val="00"/>
    <w:family w:val="swiss"/>
    <w:pitch w:val="variable"/>
    <w:sig w:usb0="A00002EF" w:usb1="4000207B" w:usb2="00000000" w:usb3="00000000" w:csb0="0000009F" w:csb1="00000000"/>
    <w:embedRegular r:id="rId3" w:fontKey="{E1602210-9BE7-49BA-9A5C-52A6CA4A6C12}"/>
  </w:font>
  <w:font w:name="Tahoma">
    <w:panose1 w:val="020B0604030504040204"/>
    <w:charset w:val="00"/>
    <w:family w:val="swiss"/>
    <w:pitch w:val="variable"/>
    <w:sig w:usb0="61002A87" w:usb1="80000000" w:usb2="00000008" w:usb3="00000000" w:csb0="000101FF" w:csb1="00000000"/>
    <w:embedRegular r:id="rId4" w:fontKey="{2DFB6D18-6895-44F7-B1D6-C5B2C04492DF}"/>
  </w:font>
  <w:font w:name="Cambria">
    <w:panose1 w:val="02040503050406030204"/>
    <w:charset w:val="00"/>
    <w:family w:val="roman"/>
    <w:pitch w:val="variable"/>
    <w:sig w:usb0="A00002EF" w:usb1="4000004B" w:usb2="00000000" w:usb3="00000000" w:csb0="0000009F" w:csb1="00000000"/>
    <w:embedRegular r:id="rId5" w:fontKey="{B1467634-E9D5-416F-839A-F37E79794A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74BH09"/>
    <w:docVar w:name="CoverBillType" w:val="b"/>
    <w:docVar w:name="docpath" w:val="L:\Council\bills\GGS\22274BH09.DOCX"/>
    <w:docVar w:name="dvBillNumber" w:val="366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2009-03-03T15:15:00Z</cp:lastPrinted>
  <dcterms:created xsi:type="dcterms:W3CDTF">2009-03-04T16:08:00Z</dcterms:created>
  <dcterms:modified xsi:type="dcterms:W3CDTF">2009-03-04T16:08:00Z</dcterms:modified>
</cp:coreProperties>
</file>