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317" w:rsidRDefault="00BD0317">
      <w:pPr>
        <w:pStyle w:val="BillDots"/>
      </w:pPr>
      <w:r>
        <w:rPr>
          <w:strike/>
        </w:rPr>
        <w:t>Indicates Matter Stricken</w:t>
      </w:r>
    </w:p>
    <w:p w:rsidR="00BD0317" w:rsidRPr="00BD0317" w:rsidRDefault="00BD0317">
      <w:pPr>
        <w:pStyle w:val="BillDots"/>
      </w:pPr>
      <w:r>
        <w:rPr>
          <w:u w:val="single"/>
        </w:rPr>
        <w:t>Indicates New Matter</w:t>
      </w:r>
    </w:p>
    <w:p w:rsidR="00BD0317" w:rsidRDefault="00BD0317">
      <w:pPr>
        <w:pStyle w:val="BillDots"/>
      </w:pPr>
    </w:p>
    <w:p w:rsidR="00BD0317" w:rsidRDefault="00BD0317">
      <w:pPr>
        <w:pStyle w:val="BillDots"/>
      </w:pPr>
      <w:r>
        <w:t>INTRODUCED</w:t>
      </w:r>
    </w:p>
    <w:p w:rsidR="00BD0317" w:rsidRDefault="00BD0317">
      <w:pPr>
        <w:pStyle w:val="BillDots"/>
      </w:pPr>
      <w:r>
        <w:t>March 9, 2009</w:t>
      </w:r>
    </w:p>
    <w:p w:rsidR="00BD0317" w:rsidRDefault="00BD0317">
      <w:pPr>
        <w:pStyle w:val="BillDots"/>
      </w:pPr>
    </w:p>
    <w:p w:rsidR="00BD0317" w:rsidRPr="00BD0317" w:rsidRDefault="00BD0317" w:rsidP="00BD0317">
      <w:pPr>
        <w:pStyle w:val="BillDots"/>
        <w:tabs>
          <w:tab w:val="clear" w:pos="216"/>
          <w:tab w:val="clear" w:pos="432"/>
          <w:tab w:val="clear" w:pos="648"/>
          <w:tab w:val="clear" w:pos="864"/>
          <w:tab w:val="clear" w:pos="1080"/>
          <w:tab w:val="clear" w:pos="1296"/>
          <w:tab w:val="clear" w:pos="5904"/>
          <w:tab w:val="right" w:pos="5933"/>
        </w:tabs>
      </w:pPr>
      <w:r>
        <w:tab/>
      </w:r>
      <w:r>
        <w:rPr>
          <w:b/>
          <w:sz w:val="36"/>
        </w:rPr>
        <w:t>H. 3677</w:t>
      </w:r>
    </w:p>
    <w:p w:rsidR="00BD0317" w:rsidRDefault="00BD0317">
      <w:pPr>
        <w:pStyle w:val="BillDots"/>
      </w:pPr>
    </w:p>
    <w:p w:rsidR="00BD0317" w:rsidRDefault="00BD0317" w:rsidP="00BD0317">
      <w:pPr>
        <w:pStyle w:val="BillDots"/>
        <w:jc w:val="center"/>
      </w:pPr>
      <w:r>
        <w:t>Introduced by Rep. Cobb</w:t>
      </w:r>
      <w:r>
        <w:noBreakHyphen/>
        <w:t>Hunter</w:t>
      </w:r>
    </w:p>
    <w:p w:rsidR="00BD0317" w:rsidRDefault="00BD0317">
      <w:pPr>
        <w:pStyle w:val="BillDots"/>
      </w:pPr>
    </w:p>
    <w:p w:rsidR="00BD0317" w:rsidRDefault="00BD0317">
      <w:pPr>
        <w:pStyle w:val="BillDots"/>
      </w:pPr>
      <w:r>
        <w:t>S. Printed 3/9/09--H.</w:t>
      </w:r>
    </w:p>
    <w:p w:rsidR="00BD0317" w:rsidRDefault="00BD0317">
      <w:pPr>
        <w:pStyle w:val="BillDots"/>
      </w:pPr>
      <w:r>
        <w:t>Read the first time March 9, 2009.</w:t>
      </w:r>
    </w:p>
    <w:p w:rsidR="00BD0317" w:rsidRPr="00BD0317" w:rsidRDefault="00BD0317" w:rsidP="00BD0317">
      <w:pPr>
        <w:pStyle w:val="BillDots"/>
        <w:jc w:val="center"/>
      </w:pPr>
      <w:r>
        <w:rPr>
          <w:u w:val="single"/>
        </w:rPr>
        <w:t>            </w:t>
      </w:r>
    </w:p>
    <w:p w:rsidR="00BD0317" w:rsidRDefault="00BD0317">
      <w:pPr>
        <w:pStyle w:val="BillDots"/>
      </w:pPr>
    </w:p>
    <w:p w:rsidR="00BD0317" w:rsidRDefault="00BD0317">
      <w:pPr>
        <w:pStyle w:val="BillDots"/>
        <w:sectPr w:rsidR="00BD0317" w:rsidSect="00BD03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2443" w:rsidRDefault="00812443">
      <w:pPr>
        <w:pStyle w:val="BillDots"/>
      </w:pPr>
    </w:p>
    <w:p w:rsidR="00812443" w:rsidRDefault="00812443">
      <w:pPr>
        <w:pStyle w:val="Numbersforbill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“VIOLENCE AGAINST WOMEN FEDERAL COMPLIANCE ACT” TO CONFORM STATE LAW TO FEDERAL REQUIREMENTS BY AMENDING SECTION 16</w:t>
      </w:r>
      <w:r>
        <w:noBreakHyphen/>
        <w:t>3</w:t>
      </w:r>
      <w:r>
        <w:noBreakHyphen/>
        <w:t>740 RELATING TO TESTING CERTAIN CRIMINALS FOR HEPATITIS B AND THE HUMAN IMMUNODEFICIENCY VIRUS AT THE REQUEST OF A VICTIM, SO AS TO REVISE THE DEFINITION OF “OFFENDER” TO INCLUDE ADULTS AND JUVENILES, TO CLARIFY PROCEDURES FOR DISCLOSING TEST RESULTS, TO PROVIDE THAT THE DEPARTMENT OF HEALTH AND ENVIRONMENTAL CONTROL SHALL ADVISE THE VICTIM OF AVAILABLE TREATMENT OPTIONS, AND UPON REQUEST OF THE VICTIM PROVIDE TESTING AND POST</w:t>
      </w:r>
      <w:r>
        <w:noBreakHyphen/>
        <w:t>TESTING COUNSELING; BY ADDING SECTION 16</w:t>
      </w:r>
      <w:r>
        <w:noBreakHyphen/>
        <w:t>3</w:t>
      </w:r>
      <w:r>
        <w:noBreakHyphen/>
        <w:t>750 SO AS TO PROHIBIT LAW ENFORCEMENT AND PROSECUTING OFFICERS FROM ASKING OR REQUIRING A VICTIM OF AN ALLEGED CRIMINAL SEXUAL CONDUCT OFFENSE TO SUBMIT TO A POLYGRAPH EXAMINATION AND TO PROVIDE THAT REFUSAL OF A VICTIM TO SUBMIT TO SUCH AN EXAMINATION DOES NOT PREVENT THE INVESTIGATION, CHARGING, OR PROSECUTION OF THE OFFENSE; TO AMEND SECTION 16</w:t>
      </w:r>
      <w:r>
        <w:noBreakHyphen/>
        <w:t>3</w:t>
      </w:r>
      <w:r>
        <w:noBreakHyphen/>
        <w:t>1350 RELATING TO MEDICOLEGAL EXAMINATIONS FOR VICTIMS OF CRIMINAL SEXUAL CONDUCT OR CHILD SEX ABUSE, SO AS TO DELETE THE PROVISION REQUIRING SUCH A VICTIM TO FILE AN INCIDENT REPORT WITH A LAW ENFORCEMENT AGENCY IN ORDER TO RECEIVE A MEDICOLEGAL EXAMINATION WITHOUT CHARGE; TO AMEND SECTION 16</w:t>
      </w:r>
      <w:r>
        <w:noBreakHyphen/>
        <w:t>3</w:t>
      </w:r>
      <w:r>
        <w:noBreakHyphen/>
        <w:t xml:space="preserve">177, AS AMENDED, RELATING TO THE FORM AND CONTENT OF A RESTRAINING ORDER, SO AS TO PROVIDE </w:t>
      </w:r>
      <w:r>
        <w:lastRenderedPageBreak/>
        <w:t>CIRCUMSTANCES UNDER WHICH A PERSON SUBJECT TO A RESTRAINING ORDER MAY NOT SHIP, TRANSPORT, OR POSSESS A FIREARM; BY ADDING SECTION 16</w:t>
      </w:r>
      <w:r>
        <w:noBreakHyphen/>
        <w:t>25</w:t>
      </w:r>
      <w:r>
        <w:noBreakHyphen/>
        <w:t>30 SO AS TO PROVIDE THAT A PERSON CONVICTED OF CRIMINAL DOMESTIC VIOLENCE OR CRIMINAL DOMESTIC VIOLENCE OF A HIGH AND AGGRAVATED NATURE MUST BE NOTIFIED IN WRITING THAT IT IS UNLAWFUL FOR SUCH A DEFENDANT TO SHIP, TRANSPORT, OR POSSESS A FIREARM; AND TO AMEND SECTION 20</w:t>
      </w:r>
      <w:r>
        <w:noBreakHyphen/>
        <w:t>4</w:t>
      </w:r>
      <w:r>
        <w:noBreakHyphen/>
        <w:t>60, AS AMENDED, RELATING TO THE FORM AND CONTENT OF AN ORDER OF PROTECTION FROM DOMESTIC VIOLENCE, SO AS TO PROVIDE THAT IT IS UNLAWFUL FOR A PERSON SUBJECT TO AN ORDER OF PROTECTION TO SHIP, TRANSPORT, OR POSSESS A FIREARM.</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r>
      <w:r>
        <w:rPr>
          <w:rFonts w:eastAsiaTheme="minorHAnsi"/>
          <w:szCs w:val="22"/>
        </w:rPr>
        <w:t>This act may be cited as the “Violence Against Women Federal Compliance Act” and is intended to bring South Carolina into compliance with the federal Violence Against Women Act.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Section 16</w:t>
      </w:r>
      <w:r>
        <w:rPr>
          <w:szCs w:val="22"/>
        </w:rPr>
        <w:noBreakHyphen/>
        <w:t>3</w:t>
      </w:r>
      <w:r>
        <w:rPr>
          <w:szCs w:val="22"/>
        </w:rPr>
        <w:noBreakHyphen/>
        <w:t>740(A), (B), and (C) and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For purposes of this section: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‘Body fluid’ means blood, amniotic fluid, pericardial fluid, pleural fluid, synovial fluid, cerebrospinal fluid, semen or vaginal secretions, or any body fluid visibly contaminated with blood.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‘HIV’ means the human immunodeficiency virus.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‘Offender’ includes </w:t>
      </w:r>
      <w:r>
        <w:rPr>
          <w:strike/>
          <w:szCs w:val="24"/>
        </w:rPr>
        <w:t>a person under seventeen years of age</w:t>
      </w:r>
      <w:r>
        <w:rPr>
          <w:szCs w:val="24"/>
        </w:rPr>
        <w:t xml:space="preserve"> </w:t>
      </w:r>
      <w:r>
        <w:rPr>
          <w:szCs w:val="24"/>
          <w:u w:val="single"/>
        </w:rPr>
        <w:t>adults and juveniles</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at any time after the offender is charged, or at any time 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victim’s legal guardian requested the tests;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there is probable cause that the offender committed the offense;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there is probable cause that during the commission of the offense there was a risk that body fluids were transmitted from one person to another;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 has received notice of the petition and notice of his right to have counsel represent him at a hearing.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results of the tests must be kept confidential and disclosed only to the solicitor who obtained the court order.  The solicitor shall then notify only those persons designated in subsection (C).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Pr>
          <w:strike/>
          <w:szCs w:val="24"/>
        </w:rPr>
        <w:t>If the tests are performed prior to conviction or adjudication, the results of the tests must be reported only to the solicitor who obtained the court order.</w:t>
      </w:r>
      <w:r>
        <w:rPr>
          <w:szCs w:val="24"/>
        </w:rPr>
        <w:t xml:space="preserve">  The solicitor shall notify the following persons of the tests results: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legal guardian of a victim who is a minor or is mentally retarded or mentally incapacitated;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victim’s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offender and a juvenile offender’s parent or guardian;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The results of the tests shall be provided to the designated recipients with the following disclaimer:  ‘The tests were conducted in a medically approved manner, but tests cannot determine infection by Hepatitis B or HIV</w:t>
      </w:r>
      <w:r>
        <w:rPr>
          <w:szCs w:val="22"/>
        </w:rPr>
        <w:t xml:space="preserve"> </w:t>
      </w:r>
      <w:r>
        <w:rPr>
          <w:szCs w:val="24"/>
        </w:rPr>
        <w:t>with absolute accuracy.  Additionally, the testing does not determine exposure to</w:t>
      </w:r>
      <w:r>
        <w:rPr>
          <w:szCs w:val="24"/>
          <w:u w:val="single"/>
        </w:rPr>
        <w:t>,</w:t>
      </w:r>
      <w:r>
        <w:rPr>
          <w:szCs w:val="24"/>
        </w:rPr>
        <w:t xml:space="preserve"> or infection by</w:t>
      </w:r>
      <w:r>
        <w:rPr>
          <w:szCs w:val="24"/>
          <w:u w:val="single"/>
        </w:rPr>
        <w:t>,</w:t>
      </w:r>
      <w:r>
        <w:rPr>
          <w:szCs w:val="24"/>
        </w:rPr>
        <w:t xml:space="preserve"> other sexually transmitted diseases.  Persons receiving the tests results should continue to monitor their own health, seek retesting in approximately six months, and should consult a physician as appropriate</w:t>
      </w:r>
      <w:r>
        <w:rPr>
          <w:szCs w:val="24"/>
          <w:u w:val="single"/>
        </w:rPr>
        <w:t>.</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Pr>
          <w:strike/>
          <w:szCs w:val="24"/>
        </w:rPr>
        <w:t xml:space="preserve"> also</w:t>
      </w:r>
      <w:r>
        <w:rPr>
          <w:szCs w:val="24"/>
        </w:rPr>
        <w:t xml:space="preserve"> provide </w:t>
      </w:r>
      <w:r>
        <w:rPr>
          <w:strike/>
          <w:szCs w:val="24"/>
        </w:rPr>
        <w:t>testing and</w:t>
      </w:r>
      <w:r>
        <w:rPr>
          <w:szCs w:val="24"/>
        </w:rPr>
        <w:t xml:space="preserve"> counseling for the victim, </w:t>
      </w:r>
      <w:r>
        <w:rPr>
          <w:strike/>
          <w:szCs w:val="24"/>
        </w:rPr>
        <w:t>at the victim’s request and referral</w:t>
      </w:r>
      <w:r>
        <w:rPr>
          <w:szCs w:val="24"/>
        </w:rPr>
        <w:t xml:space="preserve"> </w:t>
      </w:r>
      <w:r>
        <w:rPr>
          <w:szCs w:val="22"/>
          <w:u w:val="single"/>
        </w:rPr>
        <w:t xml:space="preserve">advise the victim of available medical treatment options, </w:t>
      </w:r>
      <w:r>
        <w:rPr>
          <w:szCs w:val="24"/>
          <w:u w:val="single"/>
        </w:rPr>
        <w:t>refer the victim to</w:t>
      </w:r>
      <w:r>
        <w:rPr>
          <w:szCs w:val="24"/>
        </w:rPr>
        <w:t xml:space="preserve"> </w:t>
      </w:r>
      <w:r>
        <w:rPr>
          <w:strike/>
          <w:szCs w:val="24"/>
        </w:rPr>
        <w:t>for</w:t>
      </w:r>
      <w:r>
        <w:rPr>
          <w:szCs w:val="24"/>
        </w:rPr>
        <w:t xml:space="preserve"> appropriate health care and support services</w:t>
      </w:r>
      <w:r>
        <w:rPr>
          <w:szCs w:val="24"/>
          <w:u w:val="single"/>
        </w:rPr>
        <w:t>, and at the request of the victim, or the legal guardian of a victim, test the victim for Hepatitis B</w:t>
      </w:r>
      <w:r>
        <w:rPr>
          <w:szCs w:val="22"/>
          <w:u w:val="single"/>
        </w:rPr>
        <w:t xml:space="preserve">  and HIVand provide post</w:t>
      </w:r>
      <w:r>
        <w:rPr>
          <w:szCs w:val="22"/>
          <w:u w:val="single"/>
        </w:rPr>
        <w:noBreakHyphen/>
        <w:t>testing counseling to the victim</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Chapter 3,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“Section 16</w:t>
      </w:r>
      <w:r>
        <w:rPr>
          <w:szCs w:val="22"/>
        </w:rPr>
        <w:noBreakHyphen/>
        <w:t>3</w:t>
      </w:r>
      <w:r>
        <w:rPr>
          <w:szCs w:val="22"/>
        </w:rPr>
        <w:noBreakHyphen/>
        <w:t>750.</w:t>
      </w:r>
      <w:r>
        <w:rPr>
          <w:szCs w:val="22"/>
        </w:rPr>
        <w:tab/>
        <w:t>(A)</w:t>
      </w:r>
      <w:r>
        <w:rPr>
          <w:szCs w:val="22"/>
        </w:rPr>
        <w:tab/>
        <w:t>No law enforcement officer, prosecuting officer, or other governmental official shall ask or require an adult, youth, or child victim of an alleged criminal sexual conduct offense, as defined under federal, tribal, state, territorial, or local law, to submit to a polygraph examination or other truth telling device.</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The refusal of a victim to submit to an examination described in subsection (A) of this section shall not prevent the investigation, charging, or prosecution of the offense.”</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Section 16</w:t>
      </w:r>
      <w:r>
        <w:rPr>
          <w:szCs w:val="22"/>
        </w:rPr>
        <w:noBreakHyphen/>
        <w:t>3</w:t>
      </w:r>
      <w:r>
        <w:rPr>
          <w:szCs w:val="22"/>
        </w:rPr>
        <w:noBreakHyphen/>
        <w:t>1350(A) and (B)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Pr>
          <w:strike/>
          <w:szCs w:val="24"/>
        </w:rPr>
        <w:t>if the victim has filed an incident report with a law enforcement agency</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Pr>
          <w:strike/>
          <w:szCs w:val="24"/>
        </w:rPr>
        <w:t xml:space="preserve"> venereal disease</w:t>
      </w:r>
      <w:r>
        <w:rPr>
          <w:szCs w:val="24"/>
        </w:rPr>
        <w:t xml:space="preserve"> </w:t>
      </w:r>
      <w:r>
        <w:rPr>
          <w:szCs w:val="24"/>
          <w:u w:val="single"/>
        </w:rPr>
        <w:t>sexually transmitted diseases</w:t>
      </w:r>
      <w:r>
        <w:rPr>
          <w:szCs w:val="24"/>
        </w:rPr>
        <w:t xml:space="preserve">,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w:t>
      </w:r>
      <w:r>
        <w:rPr>
          <w:strike/>
          <w:szCs w:val="24"/>
        </w:rPr>
        <w:t>above</w:t>
      </w:r>
      <w:r>
        <w:rPr>
          <w:szCs w:val="24"/>
        </w:rPr>
        <w:t xml:space="preserve"> </w:t>
      </w:r>
      <w:r>
        <w:rPr>
          <w:szCs w:val="24"/>
          <w:u w:val="single"/>
        </w:rPr>
        <w:t>in this subsection</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noBreakHyphen/>
        <w:t>3</w:t>
      </w:r>
      <w:r>
        <w:noBreakHyphen/>
        <w:t>1770 of the 1976 Code, as last amended by Act 310 of 2008, is further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“Section 16</w:t>
      </w:r>
      <w:r>
        <w:rPr>
          <w:szCs w:val="24"/>
        </w:rPr>
        <w:noBreakHyphen/>
        <w:t>3</w:t>
      </w:r>
      <w:r>
        <w:rPr>
          <w:szCs w:val="24"/>
        </w:rPr>
        <w:noBreakHyphen/>
        <w:t>1770.</w:t>
      </w:r>
      <w:r>
        <w:rPr>
          <w:szCs w:val="24"/>
        </w:rPr>
        <w:tab/>
        <w:t>(A)</w:t>
      </w:r>
      <w:r>
        <w:rPr>
          <w:szCs w:val="24"/>
        </w:rPr>
        <w:tab/>
      </w:r>
      <w:r>
        <w:rPr>
          <w:strike/>
          <w:szCs w:val="24"/>
        </w:rPr>
        <w:t xml:space="preserve">A temporary restraining order granted without notice must be endorsed with the date and hour of issuance and entered of record with the magistrates court.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t xml:space="preserve">The terms of the restraining order must protect the plaintiff and may include temporarily enjoining the defendant from: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abusing, threatening to abuse, or molesting the plaintiff or members of the plaintiff’s family;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entering or attempting to enter the plaintiff’s place of residence, employment, education, or other location;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communicating or attempting to communicate with the plaintiff in a way that would violate the provisions of this article.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strike/>
          <w:szCs w:val="24"/>
        </w:rPr>
        <w:t>C</w:t>
      </w:r>
      <w:r>
        <w:rPr>
          <w:szCs w:val="24"/>
          <w:u w:val="single"/>
        </w:rPr>
        <w:t>B</w:t>
      </w:r>
      <w:r>
        <w:rPr>
          <w:szCs w:val="24"/>
        </w:rPr>
        <w:t>)</w:t>
      </w:r>
      <w:r>
        <w:rPr>
          <w:szCs w:val="24"/>
        </w:rPr>
        <w:tab/>
        <w:t xml:space="preserve">A restraining order issued pursuant to this article conspicuously must bear the following language: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‘Violation of this order is a criminal offense punishable by thirty days in jail, a fine of five hundred dollars, or both.’; </w:t>
      </w:r>
      <w:r>
        <w:rPr>
          <w:strike/>
          <w:szCs w:val="24"/>
        </w:rPr>
        <w:t>and</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(2)</w:t>
      </w:r>
      <w:r>
        <w:rPr>
          <w:szCs w:val="24"/>
        </w:rPr>
        <w:tab/>
        <w:t>‘Pursuant to Section 16</w:t>
      </w:r>
      <w:r>
        <w:rPr>
          <w:szCs w:val="24"/>
        </w:rPr>
        <w:noBreakHyphen/>
        <w:t>25</w:t>
      </w:r>
      <w:r>
        <w:rPr>
          <w:szCs w:val="24"/>
        </w:rPr>
        <w:noBreakHyphen/>
        <w:t xml:space="preserve">125 </w:t>
      </w:r>
      <w:r>
        <w:rPr>
          <w:szCs w:val="24"/>
          <w:u w:val="single"/>
        </w:rPr>
        <w:t>of the South Carolina Code of Laws</w:t>
      </w:r>
      <w:r>
        <w:rPr>
          <w:szCs w:val="24"/>
        </w:rPr>
        <w:t>,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strike/>
          <w:szCs w:val="24"/>
        </w:rPr>
        <w:t>.</w:t>
      </w:r>
      <w:r>
        <w:rPr>
          <w:szCs w:val="24"/>
          <w:u w:val="single"/>
        </w:rPr>
        <w:t>; and</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rPr>
        <w:tab/>
      </w:r>
      <w:r>
        <w:rPr>
          <w:szCs w:val="24"/>
          <w:u w:val="single"/>
        </w:rPr>
        <w:t>(3)</w:t>
      </w:r>
      <w:r>
        <w:rPr>
          <w:szCs w:val="24"/>
        </w:rPr>
        <w:tab/>
      </w:r>
      <w:r>
        <w:rPr>
          <w:szCs w:val="24"/>
          <w:u w:val="single"/>
        </w:rPr>
        <w:t xml:space="preserve">‘Pursuant to 18 USC Section 922, it is unlawful for a person who is subject to a restraining order to </w:t>
      </w:r>
      <w:r>
        <w:rPr>
          <w:u w:val="single"/>
        </w:rPr>
        <w:t>ship, transport, possess, or receive a firearm or ammunition if the order:</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was issued after a hearing of which such person received actual notice and had an opportunity to participate;</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 expected to cause bodily harm.’.</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t>(</w:t>
      </w:r>
      <w:r>
        <w:rPr>
          <w:strike/>
          <w:szCs w:val="24"/>
        </w:rPr>
        <w:t>D</w:t>
      </w:r>
      <w:r>
        <w:rPr>
          <w:szCs w:val="24"/>
          <w:u w:val="single"/>
        </w:rPr>
        <w:t>C</w:t>
      </w:r>
      <w:r>
        <w:rPr>
          <w:szCs w:val="24"/>
        </w:rPr>
        <w:t>)</w:t>
      </w:r>
      <w:r>
        <w:rPr>
          <w:szCs w:val="24"/>
        </w:rPr>
        <w:tab/>
        <w:t xml:space="preserve">A restraining order issued by a court may not contain the social security number of a party to the order and must contain as little identifying information as is necessary of the party it seeks to protect.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r>
      <w:r>
        <w:rPr>
          <w:szCs w:val="24"/>
          <w:u w:val="single"/>
        </w:rPr>
        <w:t>(D)</w:t>
      </w:r>
      <w:r>
        <w:rPr>
          <w:szCs w:val="24"/>
        </w:rPr>
        <w:tab/>
      </w:r>
      <w:r>
        <w:rPr>
          <w:szCs w:val="24"/>
          <w:u w:val="single"/>
        </w:rPr>
        <w:t>A temporary restraining order granted without notice must be endorsed with the date and hour of issuance and entered of record with the magistrates court.</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6.</w:t>
      </w:r>
      <w:r>
        <w:rPr>
          <w:szCs w:val="22"/>
        </w:rPr>
        <w:tab/>
        <w:t>Chapter 25,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16</w:t>
      </w:r>
      <w:r>
        <w:rPr>
          <w:szCs w:val="22"/>
        </w:rPr>
        <w:noBreakHyphen/>
        <w:t>25</w:t>
      </w:r>
      <w:r>
        <w:rPr>
          <w:szCs w:val="22"/>
        </w:rPr>
        <w:noBreakHyphen/>
        <w:t>30.</w:t>
      </w:r>
      <w:r>
        <w:rPr>
          <w:szCs w:val="22"/>
        </w:rPr>
        <w:tab/>
      </w:r>
      <w:r>
        <w:rPr>
          <w:rFonts w:eastAsiaTheme="minorHAnsi"/>
          <w:szCs w:val="22"/>
        </w:rPr>
        <w:t>At the time a person is convicted of violating the provisions of Section 16</w:t>
      </w:r>
      <w:r>
        <w:rPr>
          <w:rFonts w:eastAsiaTheme="minorHAnsi"/>
          <w:szCs w:val="22"/>
        </w:rPr>
        <w:noBreakHyphen/>
        <w:t>25</w:t>
      </w:r>
      <w:r>
        <w:rPr>
          <w:rFonts w:eastAsiaTheme="minorHAnsi"/>
          <w:szCs w:val="22"/>
        </w:rPr>
        <w:noBreakHyphen/>
        <w:t>20 or 16</w:t>
      </w:r>
      <w:r>
        <w:rPr>
          <w:rFonts w:eastAsiaTheme="minorHAnsi"/>
          <w:szCs w:val="22"/>
        </w:rPr>
        <w:noBreakHyphen/>
        <w:t>25</w:t>
      </w:r>
      <w:r>
        <w:rPr>
          <w:rFonts w:eastAsiaTheme="minorHAnsi"/>
          <w:szCs w:val="22"/>
        </w:rPr>
        <w:noBreakHyphen/>
        <w:t>65, the court must deliver to the person a written form that conspicuously bears the following language:  ‘Pursuant to 18 USC Section 922, i</w:t>
      </w:r>
      <w:r>
        <w:t>t is unlawful for a person convicted of a violation of Section 16</w:t>
      </w:r>
      <w:r>
        <w:noBreakHyphen/>
        <w:t>25</w:t>
      </w:r>
      <w:r>
        <w:noBreakHyphen/>
        <w:t>20 or 16</w:t>
      </w:r>
      <w:r>
        <w:noBreakHyphen/>
        <w:t>25</w:t>
      </w:r>
      <w:r>
        <w:noBreakHyphen/>
        <w:t>65 to ship, transport, possess, or receive a firearm or ammunition.’.”</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Pr>
          <w:szCs w:val="22"/>
        </w:rPr>
        <w:tab/>
        <w:t>Section 20</w:t>
      </w:r>
      <w:r>
        <w:rPr>
          <w:szCs w:val="22"/>
        </w:rPr>
        <w:noBreakHyphen/>
        <w:t>4</w:t>
      </w:r>
      <w:r>
        <w:rPr>
          <w:szCs w:val="22"/>
        </w:rPr>
        <w:noBreakHyphen/>
        <w:t>60(B) of the 1976 Code, as last amended by Act 319 of 2008, is further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Every order of protection issued pursuant to this chapter shall conspicuously bear the following language: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‘Violation of this order is a criminal offense punishable by thirty days in jail or a fine of two hundred dollars or may constitute contempt of court punishable by up to one year in jail and/or a fine not to exceed fifteen hundred dollars.’; </w:t>
      </w:r>
      <w:r>
        <w:rPr>
          <w:strike/>
          <w:szCs w:val="24"/>
        </w:rPr>
        <w:t>and</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(2)</w:t>
      </w:r>
      <w:r>
        <w:rPr>
          <w:szCs w:val="24"/>
        </w:rPr>
        <w:tab/>
        <w:t>‘Pursuant to Section 16</w:t>
      </w:r>
      <w:r>
        <w:rPr>
          <w:szCs w:val="24"/>
        </w:rPr>
        <w:noBreakHyphen/>
        <w:t>25</w:t>
      </w:r>
      <w:r>
        <w:rPr>
          <w:szCs w:val="24"/>
        </w:rPr>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szCs w:val="24"/>
          <w:u w:val="single"/>
        </w:rPr>
        <w:t>; and</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(3)</w:t>
      </w:r>
      <w:r>
        <w:rPr>
          <w:szCs w:val="24"/>
        </w:rPr>
        <w:tab/>
      </w:r>
      <w:r>
        <w:rPr>
          <w:szCs w:val="24"/>
          <w:u w:val="single"/>
        </w:rPr>
        <w:t xml:space="preserve">‘Pursuant to 18 USC Section 922, it is unlawful for a person who is subject to an order of protection to </w:t>
      </w:r>
      <w:r>
        <w:rPr>
          <w:u w:val="single"/>
        </w:rPr>
        <w:t>ship, transport, possess, or receive a firearm or ammunition.’.</w:t>
      </w:r>
      <w: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8.</w:t>
      </w:r>
      <w:r>
        <w:rPr>
          <w:szCs w:val="22"/>
        </w:rPr>
        <w:tab/>
        <w:t>This act takes effect upon approval by the Governor.</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2443" w:rsidRDefault="00812443" w:rsidP="006E047B">
      <w:pPr>
        <w:suppressAutoHyphens/>
      </w:pPr>
    </w:p>
    <w:sectPr w:rsidR="00812443" w:rsidSect="00BD03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443" w:rsidRDefault="00BD0317">
      <w:r>
        <w:separator/>
      </w:r>
    </w:p>
  </w:endnote>
  <w:endnote w:type="continuationSeparator" w:id="1">
    <w:p w:rsidR="00812443" w:rsidRDefault="00BD03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F0CEDB-79DC-4448-B4D5-E77934015E9D}"/>
    <w:embedBold r:id="rId2" w:fontKey="{E02B71F0-A2D6-41D4-9884-F77139B09546}"/>
  </w:font>
  <w:font w:name="Calibri">
    <w:panose1 w:val="020F0502020204030204"/>
    <w:charset w:val="00"/>
    <w:family w:val="swiss"/>
    <w:pitch w:val="variable"/>
    <w:sig w:usb0="A00002EF" w:usb1="4000207B" w:usb2="00000000" w:usb3="00000000" w:csb0="0000009F" w:csb1="00000000"/>
    <w:embedRegular r:id="rId3" w:fontKey="{18E2EC3A-9842-41A6-A479-DDC14A03B5C7}"/>
  </w:font>
  <w:font w:name="Cambria">
    <w:panose1 w:val="02040503050406030204"/>
    <w:charset w:val="00"/>
    <w:family w:val="roman"/>
    <w:pitch w:val="variable"/>
    <w:sig w:usb0="A00002EF" w:usb1="4000004B" w:usb2="00000000" w:usb3="00000000" w:csb0="0000009F" w:csb1="00000000"/>
    <w:embedRegular r:id="rId4" w:fontKey="{C79BDF26-90B6-4311-8210-EB5B681A2A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443" w:rsidRDefault="00BD0317">
    <w:pPr>
      <w:pStyle w:val="Footer"/>
      <w:tabs>
        <w:tab w:val="clear" w:pos="4680"/>
        <w:tab w:val="clear" w:pos="9360"/>
        <w:tab w:val="center" w:pos="2995"/>
      </w:tabs>
      <w:spacing w:before="120"/>
    </w:pPr>
    <w:r>
      <w:t>[3677-</w:t>
    </w:r>
    <w:fldSimple w:instr=" PAGE  \* MERGEFORMAT ">
      <w:r w:rsidR="006E047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17" w:rsidRDefault="00BD0317">
    <w:pPr>
      <w:pStyle w:val="Footer"/>
      <w:tabs>
        <w:tab w:val="clear" w:pos="4680"/>
        <w:tab w:val="clear" w:pos="9360"/>
        <w:tab w:val="center" w:pos="2995"/>
      </w:tabs>
      <w:spacing w:before="120"/>
    </w:pPr>
    <w:r>
      <w:t>[3677]</w:t>
    </w:r>
    <w:r>
      <w:tab/>
    </w:r>
    <w:fldSimple w:instr=" PAGE  \* MERGEFORMAT ">
      <w:r w:rsidR="006E04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443" w:rsidRDefault="00BD0317">
      <w:r>
        <w:separator/>
      </w:r>
    </w:p>
  </w:footnote>
  <w:footnote w:type="continuationSeparator" w:id="1">
    <w:p w:rsidR="00812443" w:rsidRDefault="00BD03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9AC09"/>
    <w:docVar w:name="CoverBillType" w:val="b"/>
    <w:docVar w:name="docpath" w:val="L:\Council\bills\MS\7269AC09.DOCX"/>
    <w:docVar w:name="dvBillNumber" w:val="3677"/>
    <w:docVar w:name="dvBillNumberPrefix" w:val="H. "/>
    <w:docVar w:name="dvOriginalBody" w:val="House"/>
    <w:docVar w:name="dvSteno" w:val="MS"/>
    <w:docVar w:name="NameofBody" w:val="h"/>
    <w:docVar w:name="vgroup2" w:val="Council"/>
  </w:docVars>
  <w:rsids>
    <w:rsidRoot w:val="00812443"/>
    <w:rsid w:val="00096220"/>
    <w:rsid w:val="006E047B"/>
    <w:rsid w:val="00812443"/>
    <w:rsid w:val="00BD0317"/>
    <w:rsid w:val="00D63F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44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244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443"/>
    <w:rPr>
      <w:rFonts w:eastAsia="Times New Roman" w:cs="Times New Roman"/>
      <w:b/>
      <w:sz w:val="30"/>
      <w:szCs w:val="20"/>
    </w:rPr>
  </w:style>
  <w:style w:type="paragraph" w:styleId="Header">
    <w:name w:val="header"/>
    <w:basedOn w:val="Normal"/>
    <w:link w:val="HeaderChar"/>
    <w:uiPriority w:val="99"/>
    <w:semiHidden/>
    <w:unhideWhenUsed/>
    <w:rsid w:val="00812443"/>
    <w:pPr>
      <w:tabs>
        <w:tab w:val="center" w:pos="4320"/>
        <w:tab w:val="right" w:pos="8640"/>
      </w:tabs>
    </w:pPr>
  </w:style>
  <w:style w:type="character" w:customStyle="1" w:styleId="HeaderChar">
    <w:name w:val="Header Char"/>
    <w:basedOn w:val="DefaultParagraphFont"/>
    <w:link w:val="Header"/>
    <w:uiPriority w:val="99"/>
    <w:semiHidden/>
    <w:rsid w:val="00812443"/>
    <w:rPr>
      <w:rFonts w:eastAsia="Times New Roman" w:cs="Times New Roman"/>
      <w:szCs w:val="20"/>
    </w:rPr>
  </w:style>
  <w:style w:type="paragraph" w:styleId="Footer">
    <w:name w:val="footer"/>
    <w:basedOn w:val="Normal"/>
    <w:link w:val="FooterChar"/>
    <w:uiPriority w:val="99"/>
    <w:unhideWhenUsed/>
    <w:rsid w:val="00812443"/>
    <w:pPr>
      <w:tabs>
        <w:tab w:val="center" w:pos="4680"/>
        <w:tab w:val="right" w:pos="9360"/>
      </w:tabs>
    </w:pPr>
  </w:style>
  <w:style w:type="character" w:customStyle="1" w:styleId="FooterChar">
    <w:name w:val="Footer Char"/>
    <w:basedOn w:val="DefaultParagraphFont"/>
    <w:link w:val="Footer"/>
    <w:uiPriority w:val="99"/>
    <w:rsid w:val="00812443"/>
    <w:rPr>
      <w:rFonts w:eastAsia="Times New Roman" w:cs="Times New Roman"/>
      <w:szCs w:val="20"/>
    </w:rPr>
  </w:style>
  <w:style w:type="character" w:styleId="PageNumber">
    <w:name w:val="page number"/>
    <w:basedOn w:val="DefaultParagraphFont"/>
    <w:uiPriority w:val="99"/>
    <w:semiHidden/>
    <w:unhideWhenUsed/>
    <w:rsid w:val="00812443"/>
  </w:style>
  <w:style w:type="character" w:styleId="LineNumber">
    <w:name w:val="line number"/>
    <w:basedOn w:val="DefaultParagraphFont"/>
    <w:uiPriority w:val="99"/>
    <w:semiHidden/>
    <w:unhideWhenUsed/>
    <w:rsid w:val="00812443"/>
  </w:style>
  <w:style w:type="paragraph" w:customStyle="1" w:styleId="BillDots">
    <w:name w:val="Bill Dots"/>
    <w:basedOn w:val="Normal"/>
    <w:qFormat/>
    <w:rsid w:val="008124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2443"/>
    <w:pPr>
      <w:tabs>
        <w:tab w:val="right" w:pos="5904"/>
      </w:tabs>
    </w:pPr>
  </w:style>
  <w:style w:type="character" w:styleId="FollowedHyperlink">
    <w:name w:val="FollowedHyperlink"/>
    <w:basedOn w:val="DefaultParagraphFont"/>
    <w:uiPriority w:val="99"/>
    <w:semiHidden/>
    <w:unhideWhenUsed/>
    <w:rsid w:val="000962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2381</Words>
  <Characters>12101</Characters>
  <Application>Microsoft Office Word</Application>
  <DocSecurity>0</DocSecurity>
  <Lines>302</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2009-03-05T15:11:00Z</cp:lastPrinted>
  <dcterms:created xsi:type="dcterms:W3CDTF">2009-03-09T20:31:00Z</dcterms:created>
  <dcterms:modified xsi:type="dcterms:W3CDTF">2009-03-09T20:31:00Z</dcterms:modified>
</cp:coreProperties>
</file>