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25, AS AMENDED, CODE OF LAWS OF SOUTH CAROLINA, 1976, RELATING TO THE EXEMPTION OF CERTAIN CONSTRUCTION CONTRACTS FROM A LOCAL OPTION SALES TAX FOR COUNTY OR MUNICIPAL OPERATIONS UNDER WHICH TANGIBLE PERSONAL PROPERTY IS TO BE DELIVERED AFTER THE IMPOSITION DATE OF THE TAX, SO AS TO REVISE THE TERMS AND CONDITIONS UNDER WHICH THESE CONSTRUCTION CONTRACTS ARE EXEMPT.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25 of the 1976 Code, as last amended by Act 181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25.</w:t>
      </w:r>
      <w:r>
        <w:tab/>
      </w:r>
      <w:r>
        <w:rPr>
          <w:rFonts w:eastAsiaTheme="minorHAnsi"/>
          <w:color w:val="000000" w:themeColor="text1"/>
          <w:szCs w:val="22"/>
          <w:u w:color="000000" w:themeColor="text1"/>
        </w:rPr>
        <w:t>The gross proceeds of sales of tangible personal property delivered after the imposition date of the tax levied under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in a county, either under the terms of a construction contract executed before the imposition date, or a written bid submitted before the imposition date, culminating in a construction contract entered into </w:t>
      </w:r>
      <w:r>
        <w:rPr>
          <w:rFonts w:eastAsiaTheme="minorHAnsi"/>
          <w:strike/>
          <w:color w:val="000000" w:themeColor="text1"/>
          <w:szCs w:val="22"/>
          <w:u w:color="000000" w:themeColor="text1"/>
        </w:rPr>
        <w:t>before or after the imposition date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within six months of the written bid</w:t>
      </w:r>
      <w:r>
        <w:rPr>
          <w:rFonts w:eastAsiaTheme="minorHAnsi"/>
          <w:color w:val="000000" w:themeColor="text1"/>
          <w:szCs w:val="22"/>
          <w:u w:color="000000" w:themeColor="text1"/>
        </w:rPr>
        <w:t>, are exempt from the local sales and use tax provided in 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20 if a verified copy of the contract is filed with the South Carolina Department of Revenue </w:t>
      </w:r>
      <w:r>
        <w:rPr>
          <w:rFonts w:eastAsiaTheme="minorHAnsi"/>
          <w:strike/>
          <w:color w:val="000000" w:themeColor="text1"/>
          <w:szCs w:val="22"/>
          <w:u w:color="000000" w:themeColor="text1"/>
        </w:rPr>
        <w:t>within six months after the imposition of the local sales and use tax</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560BA-F18D-4229-9D54-F1DC0F317301}"/>
    <w:embedBold r:id="rId2" w:fontKey="{79BEC535-9B06-47C7-AF10-3842AD821039}"/>
  </w:font>
  <w:font w:name="Calibri">
    <w:panose1 w:val="020F0502020204030204"/>
    <w:charset w:val="00"/>
    <w:family w:val="swiss"/>
    <w:pitch w:val="variable"/>
    <w:sig w:usb0="A00002EF" w:usb1="4000207B" w:usb2="00000000" w:usb3="00000000" w:csb0="0000009F" w:csb1="00000000"/>
    <w:embedRegular r:id="rId3" w:fontKey="{198857FD-E712-4B48-AF4C-75AC65F9002A}"/>
  </w:font>
  <w:font w:name="Cambria">
    <w:panose1 w:val="02040503050406030204"/>
    <w:charset w:val="00"/>
    <w:family w:val="roman"/>
    <w:pitch w:val="variable"/>
    <w:sig w:usb0="A00002EF" w:usb1="4000004B" w:usb2="00000000" w:usb3="00000000" w:csb0="0000009F" w:csb1="00000000"/>
    <w:embedRegular r:id="rId4" w:fontKey="{48C18ED5-3880-4ADE-898E-C2C4E11AA7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4SD09"/>
    <w:docVar w:name="CoverBillType" w:val="b"/>
    <w:docVar w:name="docpath" w:val="L:\Council\bills\GJK\20214SD09.DOCX"/>
    <w:docVar w:name="dvBillNumber" w:val="376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1122</Characters>
  <Application>Microsoft Office Word</Application>
  <DocSecurity>0</DocSecurity>
  <Lines>160</Lines>
  <Paragraphs>166</Paragraphs>
  <ScaleCrop>false</ScaleCrop>
  <Company>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dcterms:created xsi:type="dcterms:W3CDTF">2009-03-25T16:09:00Z</dcterms:created>
  <dcterms:modified xsi:type="dcterms:W3CDTF">2009-03-25T16:09:00Z</dcterms:modified>
</cp:coreProperties>
</file>