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551" w:rsidRP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62" w:rsidRDefault="00BE5562" w:rsidP="00F03551">
      <w:pPr>
        <w:tabs>
          <w:tab w:val="right" w:pos="5933"/>
        </w:tabs>
        <w:suppressAutoHyphens/>
      </w:pPr>
      <w:r>
        <w:t>COMMITTEE AMENDMENT ADOPTED AND AMENDED</w:t>
      </w:r>
    </w:p>
    <w:p w:rsidR="00BE5562" w:rsidRDefault="00BE5562" w:rsidP="00F03551">
      <w:pPr>
        <w:tabs>
          <w:tab w:val="right" w:pos="5933"/>
        </w:tabs>
        <w:suppressAutoHyphens/>
      </w:pPr>
      <w:r>
        <w:t>May 20, 2010</w:t>
      </w:r>
    </w:p>
    <w:p w:rsidR="00BE5562" w:rsidRDefault="00BE5562" w:rsidP="00F03551">
      <w:pPr>
        <w:tabs>
          <w:tab w:val="right" w:pos="5933"/>
        </w:tabs>
        <w:suppressAutoHyphens/>
      </w:pPr>
    </w:p>
    <w:p w:rsidR="00F03551" w:rsidRPr="00F03551" w:rsidRDefault="00F03551" w:rsidP="00F03551">
      <w:pPr>
        <w:tabs>
          <w:tab w:val="right" w:pos="5933"/>
        </w:tabs>
        <w:suppressAutoHyphens/>
      </w:pPr>
      <w:r>
        <w:tab/>
      </w:r>
      <w:r>
        <w:rPr>
          <w:b/>
          <w:sz w:val="36"/>
        </w:rPr>
        <w:t>H. 3790</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Sandifer</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BE5562">
        <w:t>20</w:t>
      </w:r>
      <w:r>
        <w:t>/10--S.</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2009.</w:t>
      </w:r>
    </w:p>
    <w:p w:rsidR="00BD41F4" w:rsidRDefault="00F03551"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3551" w:rsidSect="00155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SECTIONS 37</w:t>
      </w:r>
      <w:r>
        <w:rPr>
          <w:color w:val="000000" w:themeColor="text1"/>
          <w:u w:color="000000" w:themeColor="text1"/>
        </w:rPr>
        <w:noBreakHyphen/>
        <w:t>1</w:t>
      </w:r>
      <w:r>
        <w:rPr>
          <w:color w:val="000000" w:themeColor="text1"/>
          <w:u w:color="000000" w:themeColor="text1"/>
        </w:rPr>
        <w:noBreakHyphen/>
        <w:t>301, 37-3-105,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OF </w:t>
      </w:r>
      <w:r>
        <w:rPr>
          <w:color w:val="000000" w:themeColor="text1"/>
          <w:u w:color="000000" w:themeColor="text1"/>
        </w:rPr>
        <w:lastRenderedPageBreak/>
        <w:t>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BE5562" w:rsidRDefault="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t>1.</w:t>
      </w:r>
      <w:r w:rsidRPr="00EE3C90">
        <w:rPr>
          <w:color w:val="000000" w:themeColor="text1"/>
          <w:szCs w:val="22"/>
          <w:u w:color="000000" w:themeColor="text1"/>
        </w:rPr>
        <w:tab/>
        <w:t>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20 of the 1976 Code, as last amended by Act 67 of 2009, is further amended by adding at the end:</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t>“(40)</w:t>
      </w:r>
      <w:r w:rsidRPr="00EE3C90">
        <w:rPr>
          <w:color w:val="000000" w:themeColor="text1"/>
          <w:szCs w:val="22"/>
          <w:u w:color="000000" w:themeColor="text1"/>
        </w:rPr>
        <w:tab/>
        <w:t>‘Qualified loan originator’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t>2.</w:t>
      </w:r>
      <w:r w:rsidRPr="00EE3C90">
        <w:rPr>
          <w:color w:val="000000" w:themeColor="text1"/>
          <w:szCs w:val="22"/>
          <w:u w:color="000000" w:themeColor="text1"/>
        </w:rPr>
        <w:tab/>
        <w:t>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50 of the 1976 Code, as last amended by Act 67 of 2009, is further amended by adding at the end:</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t>“(E)(1)</w:t>
      </w:r>
      <w:r w:rsidRPr="00EE3C90">
        <w:rPr>
          <w:color w:val="000000" w:themeColor="text1"/>
          <w:szCs w:val="22"/>
          <w:u w:color="000000" w:themeColor="text1"/>
        </w:rPr>
        <w:tab/>
      </w:r>
      <w:r w:rsidRPr="00EE3C90">
        <w:rPr>
          <w:color w:val="000000" w:themeColor="text1"/>
          <w:szCs w:val="22"/>
          <w:u w:color="000000" w:themeColor="text1"/>
        </w:rPr>
        <w:tab/>
        <w:t xml:space="preserve">A person may not act as a qualified loan originator in this State without first being licensed with the administrator. It is unlawful for a person to employ, to compensate, or to appoint as its agent a qualified loan originator unless the qualified loan originator is licensed pursuant to this chapter.  The license of a qualified loan originator is not effective during any period when that person is not supervised pursuant to an exclusive written contract by a mortgage broker licensed pursuant to this chapter.  </w:t>
      </w:r>
      <w:r w:rsidRPr="00EE3C90">
        <w:rPr>
          <w:color w:val="000000" w:themeColor="text1"/>
          <w:szCs w:val="22"/>
          <w:u w:color="000000" w:themeColor="text1"/>
        </w:rPr>
        <w:lastRenderedPageBreak/>
        <w:t xml:space="preserve">When a qualified loan originator ceases to be supervised by a licensed mortgage broker, the qualified loan originator and the mortgage broker shall notify promptly the administrator in writing.  The mortgage broker’s notice must include a statement of the specific reason or reasons for the termination of the qualified loan originator’s exclusive written contract.  The reason for termination is confidential information and may not be released to the public. </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(2)</w:t>
      </w:r>
      <w:r w:rsidRPr="00EE3C90">
        <w:rPr>
          <w:color w:val="000000" w:themeColor="text1"/>
          <w:szCs w:val="22"/>
          <w:u w:color="000000" w:themeColor="text1"/>
        </w:rPr>
        <w:tab/>
        <w:t>An application to become licensed as a qualified loan originator must be in writing, under oath, and in a form prescribed by the administrator. The application must contain any and all information in Sections 40</w:t>
      </w:r>
      <w:r w:rsidRPr="00EE3C90">
        <w:rPr>
          <w:color w:val="000000" w:themeColor="text1"/>
          <w:szCs w:val="22"/>
          <w:u w:color="000000" w:themeColor="text1"/>
        </w:rPr>
        <w:noBreakHyphen/>
        <w:t>58</w:t>
      </w:r>
      <w:r w:rsidRPr="00EE3C90">
        <w:rPr>
          <w:color w:val="000000" w:themeColor="text1"/>
          <w:szCs w:val="22"/>
          <w:u w:color="000000" w:themeColor="text1"/>
        </w:rPr>
        <w:noBreakHyphen/>
        <w:t>50(A) and (C) and be accompanied by a nonrefundable annual licensing fee of one hundred dollars.  Additionally, the applicant must:</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(a)</w:t>
      </w:r>
      <w:r w:rsidRPr="00EE3C90">
        <w:rPr>
          <w:color w:val="000000" w:themeColor="text1"/>
          <w:szCs w:val="22"/>
          <w:u w:color="000000" w:themeColor="text1"/>
        </w:rPr>
        <w:tab/>
        <w:t>meet the requirements of 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50(C);</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(b)</w:t>
      </w:r>
      <w:r w:rsidRPr="00EE3C90">
        <w:rPr>
          <w:color w:val="000000" w:themeColor="text1"/>
          <w:szCs w:val="22"/>
          <w:u w:color="000000" w:themeColor="text1"/>
        </w:rPr>
        <w:tab/>
        <w:t>meet the surety bond requirement of a mortgage broker pursuant to 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40.  Principal on the surety is the qualified loan originator.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(c)</w:t>
      </w:r>
      <w:r w:rsidRPr="00EE3C90">
        <w:rPr>
          <w:color w:val="000000" w:themeColor="text1"/>
          <w:szCs w:val="22"/>
          <w:u w:color="000000" w:themeColor="text1"/>
        </w:rPr>
        <w:tab/>
        <w:t>act as an agent for a single mortgage broker licensee, who:</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(i)</w:t>
      </w:r>
      <w:r w:rsidRPr="00EE3C90">
        <w:rPr>
          <w:color w:val="000000" w:themeColor="text1"/>
          <w:szCs w:val="22"/>
          <w:u w:color="000000" w:themeColor="text1"/>
        </w:rPr>
        <w:tab/>
      </w:r>
      <w:r w:rsidRPr="00EE3C90">
        <w:rPr>
          <w:color w:val="000000" w:themeColor="text1"/>
          <w:szCs w:val="22"/>
          <w:u w:color="000000" w:themeColor="text1"/>
        </w:rPr>
        <w:tab/>
        <w:t>is responsible for supervising the qualified loan originator as required by this chapter and in accordance with a plan of supervision approved by the administrator in the administrator’s sole discretion;</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(ii)</w:t>
      </w:r>
      <w:r w:rsidRPr="00EE3C90">
        <w:rPr>
          <w:color w:val="000000" w:themeColor="text1"/>
          <w:szCs w:val="22"/>
          <w:u w:color="000000" w:themeColor="text1"/>
        </w:rPr>
        <w:tab/>
        <w:t>signs the license application of the applicant; and</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(iii)</w:t>
      </w:r>
      <w:r w:rsidRPr="00EE3C90">
        <w:rPr>
          <w:color w:val="000000" w:themeColor="text1"/>
          <w:szCs w:val="22"/>
          <w:u w:color="000000" w:themeColor="text1"/>
        </w:rPr>
        <w:tab/>
        <w:t>is jointly and severally liable with the qualified loan originator for any claims arising from the qualified loan originator’s mortgage origination activities.</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(3)</w:t>
      </w:r>
      <w:r w:rsidRPr="00EE3C90">
        <w:rPr>
          <w:color w:val="000000" w:themeColor="text1"/>
          <w:szCs w:val="22"/>
          <w:u w:color="000000" w:themeColor="text1"/>
        </w:rPr>
        <w:tab/>
        <w:t>Pursuant to 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110, a qualified loan originator license expires on December thirty</w:t>
      </w:r>
      <w:r w:rsidRPr="00EE3C90">
        <w:rPr>
          <w:color w:val="000000" w:themeColor="text1"/>
          <w:szCs w:val="22"/>
          <w:u w:color="000000" w:themeColor="text1"/>
        </w:rPr>
        <w:noBreakHyphen/>
        <w:t xml:space="preserve">first and must be renewed pursuant to that section and accompanied by a nonrefundable annual licensing fee of one hundred dollars. </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(4)</w:t>
      </w:r>
      <w:r w:rsidRPr="00EE3C90">
        <w:rPr>
          <w:color w:val="000000" w:themeColor="text1"/>
          <w:szCs w:val="22"/>
          <w:u w:color="000000" w:themeColor="text1"/>
        </w:rPr>
        <w:tab/>
        <w:t>Each office location of a qualified loan originator is a branch office of the supervising mortgage broker licensee</w:t>
      </w:r>
      <w:r w:rsidRPr="00EE3C90">
        <w:rPr>
          <w:b/>
          <w:color w:val="000000" w:themeColor="text1"/>
          <w:szCs w:val="22"/>
          <w:u w:color="000000" w:themeColor="text1"/>
        </w:rPr>
        <w:t xml:space="preserve">, </w:t>
      </w:r>
      <w:r w:rsidRPr="00EE3C90">
        <w:rPr>
          <w:color w:val="000000" w:themeColor="text1"/>
          <w:szCs w:val="22"/>
          <w:u w:color="000000" w:themeColor="text1"/>
        </w:rPr>
        <w:t>and must be operated as any other branch office pursuant to this chapter.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(5)</w:t>
      </w:r>
      <w:r w:rsidRPr="00EE3C90">
        <w:rPr>
          <w:color w:val="000000" w:themeColor="text1"/>
          <w:szCs w:val="22"/>
          <w:u w:color="000000" w:themeColor="text1"/>
        </w:rPr>
        <w:tab/>
        <w:t>In addition to the activities prohibited by other provisions of state or federal law, it is unlawful for a qualified loan originator to:</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(a)</w:t>
      </w:r>
      <w:r w:rsidRPr="00EE3C90">
        <w:rPr>
          <w:color w:val="000000" w:themeColor="text1"/>
          <w:szCs w:val="22"/>
          <w:u w:color="000000" w:themeColor="text1"/>
        </w:rPr>
        <w:tab/>
        <w:t>be compensated on a basis that is dependent upon the interest rate, fees, or other terms of the loan originated, provided that this section does not prohibit compensation based on the principal balance of the loan;</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lastRenderedPageBreak/>
        <w:tab/>
      </w:r>
      <w:r w:rsidRPr="00EE3C90">
        <w:rPr>
          <w:color w:val="000000" w:themeColor="text1"/>
          <w:szCs w:val="22"/>
          <w:u w:color="000000" w:themeColor="text1"/>
        </w:rPr>
        <w:tab/>
      </w:r>
      <w:r w:rsidRPr="00EE3C90">
        <w:rPr>
          <w:color w:val="000000" w:themeColor="text1"/>
          <w:szCs w:val="22"/>
          <w:u w:color="000000" w:themeColor="text1"/>
        </w:rPr>
        <w:tab/>
        <w:t>(b)</w:t>
      </w:r>
      <w:r w:rsidRPr="00EE3C90">
        <w:rPr>
          <w:color w:val="000000" w:themeColor="text1"/>
          <w:szCs w:val="22"/>
          <w:u w:color="000000" w:themeColor="text1"/>
        </w:rPr>
        <w:tab/>
        <w:t>offer loans other than fixed</w:t>
      </w:r>
      <w:r w:rsidRPr="00EE3C90">
        <w:rPr>
          <w:color w:val="000000" w:themeColor="text1"/>
          <w:szCs w:val="22"/>
          <w:u w:color="000000" w:themeColor="text1"/>
        </w:rPr>
        <w:noBreakHyphen/>
        <w:t>term, fixed</w:t>
      </w:r>
      <w:r w:rsidRPr="00EE3C90">
        <w:rPr>
          <w:color w:val="000000" w:themeColor="text1"/>
          <w:szCs w:val="22"/>
          <w:u w:color="000000" w:themeColor="text1"/>
        </w:rPr>
        <w:noBreakHyphen/>
        <w:t>rate, fully amortizing mortgage loans originated for a single mortgage lender with substantially equal monthly mortgage payments and without a prepayment penalty.</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(c)</w:t>
      </w:r>
      <w:r w:rsidRPr="00EE3C90">
        <w:rPr>
          <w:color w:val="000000" w:themeColor="text1"/>
          <w:szCs w:val="22"/>
          <w:u w:color="000000" w:themeColor="text1"/>
        </w:rPr>
        <w:tab/>
        <w:t>handle borrower or other third</w:t>
      </w:r>
      <w:r w:rsidRPr="00EE3C90">
        <w:rPr>
          <w:color w:val="000000" w:themeColor="text1"/>
          <w:szCs w:val="22"/>
          <w:u w:color="000000" w:themeColor="text1"/>
        </w:rPr>
        <w:noBreakHyphen/>
        <w:t>party funds in connection with the origination of mortgage loans.</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(6)</w:t>
      </w:r>
      <w:r w:rsidRPr="00EE3C90">
        <w:rPr>
          <w:color w:val="000000" w:themeColor="text1"/>
          <w:szCs w:val="22"/>
          <w:u w:color="000000" w:themeColor="text1"/>
        </w:rPr>
        <w:tab/>
        <w:t>Unless otherwise indicated, a qualified loan originator is subject to the requirements of a loan originator under this chapter.”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t>3.</w:t>
      </w:r>
      <w:r w:rsidRPr="00EE3C90">
        <w:rPr>
          <w:color w:val="000000" w:themeColor="text1"/>
          <w:szCs w:val="22"/>
          <w:u w:color="000000" w:themeColor="text1"/>
        </w:rPr>
        <w:tab/>
        <w:t>Any provision of this act deemed by HUD to conflict with its interpretation of the SAFE Act, provided for in Section 1508 of Title V of The Housing and Economic Recovery Act of 2008, Public Law 110</w:t>
      </w:r>
      <w:r w:rsidRPr="00EE3C90">
        <w:rPr>
          <w:color w:val="000000" w:themeColor="text1"/>
          <w:szCs w:val="22"/>
          <w:u w:color="000000" w:themeColor="text1"/>
        </w:rPr>
        <w:noBreakHyphen/>
        <w:t>289, must be interpreted, applied, or amended in such a way so as to comply with HUD’s interpretation of the SAFE Act. If any provision of this act cannot be interpreted, applied, or amended in such a way so as to comply with the SAFE Act, that provision must be severed from the act and shall not affect the remainder of the Act’s compliance with the SAFE Act.  The regulating authority shall adopt emergency regulations or take other actions necessary to ensure compliance with the SAFE Act and the regulating authority’s continued jurisdiction over and supervision of the mortgage business in this State.</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SECTION</w:t>
      </w:r>
      <w:r w:rsidRPr="0028414E">
        <w:rPr>
          <w:color w:val="000000" w:themeColor="text1"/>
          <w:szCs w:val="22"/>
          <w:u w:color="000000" w:themeColor="text1"/>
        </w:rPr>
        <w:tab/>
      </w:r>
      <w:r>
        <w:rPr>
          <w:color w:val="000000" w:themeColor="text1"/>
          <w:u w:color="000000" w:themeColor="text1"/>
        </w:rPr>
        <w:t>4</w:t>
      </w:r>
      <w:r w:rsidRPr="0028414E">
        <w:rPr>
          <w:color w:val="000000" w:themeColor="text1"/>
          <w:szCs w:val="22"/>
          <w:u w:color="000000" w:themeColor="text1"/>
        </w:rPr>
        <w:t>.</w:t>
      </w:r>
      <w:r w:rsidRPr="0028414E">
        <w:rPr>
          <w:color w:val="000000" w:themeColor="text1"/>
          <w:szCs w:val="22"/>
          <w:u w:color="000000" w:themeColor="text1"/>
        </w:rPr>
        <w:tab/>
      </w:r>
      <w:r w:rsidRPr="0028414E">
        <w:rPr>
          <w:color w:val="000000" w:themeColor="text1"/>
          <w:szCs w:val="22"/>
          <w:u w:color="000000" w:themeColor="text1"/>
        </w:rPr>
        <w:tab/>
        <w:t>A.</w:t>
      </w:r>
      <w:r w:rsidRPr="0028414E">
        <w:rPr>
          <w:color w:val="000000" w:themeColor="text1"/>
          <w:szCs w:val="22"/>
          <w:u w:color="000000" w:themeColor="text1"/>
        </w:rPr>
        <w:tab/>
      </w:r>
      <w:r w:rsidRPr="0028414E">
        <w:rPr>
          <w:color w:val="000000" w:themeColor="text1"/>
          <w:szCs w:val="22"/>
          <w:u w:color="000000" w:themeColor="text1"/>
        </w:rPr>
        <w:tab/>
        <w:t>Section 37</w:t>
      </w:r>
      <w:r w:rsidRPr="0028414E">
        <w:rPr>
          <w:color w:val="000000" w:themeColor="text1"/>
          <w:szCs w:val="22"/>
          <w:u w:color="000000" w:themeColor="text1"/>
        </w:rPr>
        <w:noBreakHyphen/>
        <w:t>3</w:t>
      </w:r>
      <w:r w:rsidRPr="0028414E">
        <w:rPr>
          <w:color w:val="000000" w:themeColor="text1"/>
          <w:szCs w:val="22"/>
          <w:u w:color="000000" w:themeColor="text1"/>
        </w:rPr>
        <w:noBreakHyphen/>
        <w:t>501(1) of the 1976 Code, as last amended by Act 67 of 2009, is further amended to read:</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t>“Section 37</w:t>
      </w:r>
      <w:r w:rsidRPr="0028414E">
        <w:rPr>
          <w:color w:val="000000" w:themeColor="text1"/>
          <w:szCs w:val="22"/>
          <w:u w:color="000000" w:themeColor="text1"/>
        </w:rPr>
        <w:noBreakHyphen/>
        <w:t>3</w:t>
      </w:r>
      <w:r w:rsidRPr="0028414E">
        <w:rPr>
          <w:color w:val="000000" w:themeColor="text1"/>
          <w:szCs w:val="22"/>
          <w:u w:color="000000" w:themeColor="text1"/>
        </w:rPr>
        <w:noBreakHyphen/>
        <w:t>501.</w:t>
      </w:r>
      <w:r w:rsidRPr="0028414E">
        <w:rPr>
          <w:color w:val="000000" w:themeColor="text1"/>
          <w:szCs w:val="22"/>
          <w:u w:color="000000" w:themeColor="text1"/>
        </w:rPr>
        <w:tab/>
        <w:t>(1)</w:t>
      </w:r>
      <w:r w:rsidRPr="0028414E">
        <w:rPr>
          <w:color w:val="000000" w:themeColor="text1"/>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28414E">
        <w:rPr>
          <w:color w:val="000000" w:themeColor="text1"/>
          <w:szCs w:val="22"/>
          <w:u w:color="000000" w:themeColor="text1"/>
        </w:rPr>
        <w:noBreakHyphen/>
        <w:t>3</w:t>
      </w:r>
      <w:r w:rsidRPr="0028414E">
        <w:rPr>
          <w:color w:val="000000" w:themeColor="text1"/>
          <w:szCs w:val="22"/>
          <w:u w:color="000000" w:themeColor="text1"/>
        </w:rPr>
        <w:noBreakHyphen/>
        <w:t xml:space="preserve">201).  A supervised loan does not include </w:t>
      </w:r>
      <w:r w:rsidRPr="0028414E">
        <w:rPr>
          <w:strike/>
          <w:color w:val="000000" w:themeColor="text1"/>
          <w:szCs w:val="22"/>
          <w:u w:color="000000" w:themeColor="text1"/>
        </w:rPr>
        <w:t>a mortgage loan as defined in Section 37</w:t>
      </w:r>
      <w:r w:rsidRPr="0028414E">
        <w:rPr>
          <w:strike/>
          <w:color w:val="000000" w:themeColor="text1"/>
          <w:szCs w:val="22"/>
          <w:u w:color="000000" w:themeColor="text1"/>
        </w:rPr>
        <w:noBreakHyphen/>
        <w:t>22</w:t>
      </w:r>
      <w:r w:rsidRPr="0028414E">
        <w:rPr>
          <w:strike/>
          <w:color w:val="000000" w:themeColor="text1"/>
          <w:szCs w:val="22"/>
          <w:u w:color="000000" w:themeColor="text1"/>
        </w:rPr>
        <w:noBreakHyphen/>
        <w:t>110(30).</w:t>
      </w:r>
      <w:r w:rsidRPr="0028414E">
        <w:rPr>
          <w:color w:val="000000" w:themeColor="text1"/>
          <w:szCs w:val="22"/>
          <w:u w:val="single" w:color="000000" w:themeColor="text1"/>
        </w:rPr>
        <w:t>:</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(a)</w:t>
      </w:r>
      <w:r w:rsidRPr="0028414E">
        <w:rPr>
          <w:color w:val="000000" w:themeColor="text1"/>
          <w:szCs w:val="22"/>
          <w:u w:color="000000" w:themeColor="text1"/>
        </w:rPr>
        <w:tab/>
      </w:r>
      <w:r w:rsidRPr="0028414E">
        <w:rPr>
          <w:color w:val="000000" w:themeColor="text1"/>
          <w:szCs w:val="22"/>
          <w:u w:val="single" w:color="000000" w:themeColor="text1"/>
        </w:rPr>
        <w:t>a mortgage loan as defined in Section 37</w:t>
      </w:r>
      <w:r w:rsidRPr="0028414E">
        <w:rPr>
          <w:color w:val="000000" w:themeColor="text1"/>
          <w:szCs w:val="22"/>
          <w:u w:val="single" w:color="000000" w:themeColor="text1"/>
        </w:rPr>
        <w:noBreakHyphen/>
        <w:t>22</w:t>
      </w:r>
      <w:r w:rsidRPr="0028414E">
        <w:rPr>
          <w:color w:val="000000" w:themeColor="text1"/>
          <w:szCs w:val="22"/>
          <w:u w:val="single" w:color="000000" w:themeColor="text1"/>
        </w:rPr>
        <w:noBreakHyphen/>
        <w:t>110(30); or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(b)</w:t>
      </w:r>
      <w:r w:rsidRPr="0028414E">
        <w:rPr>
          <w:color w:val="000000" w:themeColor="text1"/>
          <w:szCs w:val="22"/>
          <w:u w:color="000000" w:themeColor="text1"/>
        </w:rPr>
        <w:tab/>
      </w:r>
      <w:r w:rsidRPr="0028414E">
        <w:rPr>
          <w:color w:val="000000" w:themeColor="text1"/>
          <w:szCs w:val="22"/>
          <w:u w:val="single" w:color="000000" w:themeColor="text1"/>
        </w:rPr>
        <w:t>a closed</w:t>
      </w:r>
      <w:r w:rsidRPr="0028414E">
        <w:rPr>
          <w:color w:val="000000" w:themeColor="text1"/>
          <w:szCs w:val="22"/>
          <w:u w:val="single" w:color="000000" w:themeColor="text1"/>
        </w:rPr>
        <w:noBreakHyphen/>
        <w:t>end credit transaction, with an original repayment term of less than one hundred twenty days, unsecured by any interest in the consumer’s personal property or secured by personal property, excluding motor vehicles that are free of any other liens or encumbrances, that does not have a market value that reasonably secures the amount of the loan, and the consumer: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w:t>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 xml:space="preserve">receives funds from and incurs interest or a fee payable to a creditor, and contemporaneously with, or any time after, the receipt of funds, provides a check or other payment </w:t>
      </w:r>
      <w:r w:rsidRPr="0028414E">
        <w:rPr>
          <w:color w:val="000000" w:themeColor="text1"/>
          <w:szCs w:val="22"/>
          <w:u w:val="single" w:color="000000" w:themeColor="text1"/>
        </w:rPr>
        <w:lastRenderedPageBreak/>
        <w:t>instrument to the creditor who agrees with the consumer not to deposit or present the check or payment instrument; or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(ii)</w:t>
      </w:r>
      <w:r w:rsidRPr="0028414E">
        <w:rPr>
          <w:color w:val="000000" w:themeColor="text1"/>
          <w:szCs w:val="22"/>
          <w:u w:color="000000" w:themeColor="text1"/>
        </w:rPr>
        <w:tab/>
      </w:r>
      <w:r w:rsidRPr="0028414E">
        <w:rPr>
          <w:color w:val="000000" w:themeColor="text1"/>
          <w:szCs w:val="22"/>
          <w:u w:val="single" w:color="000000" w:themeColor="text1"/>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 or remotely created consumer item as defined in Section 36</w:t>
      </w:r>
      <w:r w:rsidRPr="0028414E">
        <w:rPr>
          <w:color w:val="000000" w:themeColor="text1"/>
          <w:szCs w:val="22"/>
          <w:u w:val="single" w:color="000000" w:themeColor="text1"/>
        </w:rPr>
        <w:noBreakHyphen/>
        <w:t>3</w:t>
      </w:r>
      <w:r w:rsidRPr="0028414E">
        <w:rPr>
          <w:color w:val="000000" w:themeColor="text1"/>
          <w:szCs w:val="22"/>
          <w:u w:val="single" w:color="000000" w:themeColor="text1"/>
        </w:rPr>
        <w:noBreakHyphen/>
        <w:t>103(16).</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val="single" w:color="000000" w:themeColor="text1"/>
        </w:rPr>
        <w:t>The provisions of subitem (b) do not apply to credit unions, bank holding companies, banks, or financial institutions insured by the Federal Deposit Insurance Corporation.</w:t>
      </w:r>
      <w:r w:rsidRPr="0028414E">
        <w:rPr>
          <w:color w:val="000000" w:themeColor="text1"/>
          <w:szCs w:val="22"/>
          <w:u w:color="000000" w:themeColor="text1"/>
        </w:rPr>
        <w:t>”</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B.</w:t>
      </w:r>
      <w:r w:rsidRPr="0028414E">
        <w:rPr>
          <w:color w:val="000000" w:themeColor="text1"/>
          <w:szCs w:val="22"/>
          <w:u w:color="000000" w:themeColor="text1"/>
        </w:rPr>
        <w:tab/>
      </w:r>
      <w:r w:rsidRPr="0028414E">
        <w:rPr>
          <w:color w:val="000000" w:themeColor="text1"/>
          <w:szCs w:val="22"/>
          <w:u w:color="000000" w:themeColor="text1"/>
        </w:rPr>
        <w:tab/>
        <w:t>Section 37</w:t>
      </w:r>
      <w:r w:rsidRPr="0028414E">
        <w:rPr>
          <w:color w:val="000000" w:themeColor="text1"/>
          <w:szCs w:val="22"/>
          <w:u w:color="000000" w:themeColor="text1"/>
        </w:rPr>
        <w:noBreakHyphen/>
        <w:t>3</w:t>
      </w:r>
      <w:r w:rsidRPr="0028414E">
        <w:rPr>
          <w:color w:val="000000" w:themeColor="text1"/>
          <w:szCs w:val="22"/>
          <w:u w:color="000000" w:themeColor="text1"/>
        </w:rPr>
        <w:noBreakHyphen/>
        <w:t>503(7) of the 1976 Code is amended to read:</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t>“(7)(a)</w:t>
      </w:r>
      <w:r w:rsidRPr="0028414E">
        <w:rPr>
          <w:color w:val="000000" w:themeColor="text1"/>
          <w:szCs w:val="22"/>
          <w:u w:color="000000" w:themeColor="text1"/>
        </w:rPr>
        <w:tab/>
        <w:t>A licensee may conduct the business of making supervised loans only at or from any place of business for which he holds a license and not under any other name than that in the license.  Sales or leases made pursuant to a lender credit card do not violate this subsection.</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val="single" w:color="000000" w:themeColor="text1"/>
        </w:rPr>
        <w:t>(b)(1)</w:t>
      </w:r>
      <w:r w:rsidRPr="0028414E">
        <w:rPr>
          <w:color w:val="000000" w:themeColor="text1"/>
          <w:szCs w:val="22"/>
          <w:u w:color="000000" w:themeColor="text1"/>
        </w:rPr>
        <w:tab/>
      </w:r>
      <w:r w:rsidRPr="0028414E">
        <w:rPr>
          <w:color w:val="000000" w:themeColor="text1"/>
          <w:szCs w:val="22"/>
          <w:u w:val="single" w:color="000000" w:themeColor="text1"/>
        </w:rPr>
        <w:t>A person licensed to make supervised loans may not make or enter into a closed</w:t>
      </w:r>
      <w:r w:rsidRPr="0028414E">
        <w:rPr>
          <w:color w:val="000000" w:themeColor="text1"/>
          <w:szCs w:val="22"/>
          <w:u w:val="single" w:color="000000" w:themeColor="text1"/>
        </w:rPr>
        <w:noBreakHyphen/>
        <w:t>end credit transaction, with an original repayment term of less than one hundred twenty days, unsecured by any interest in the consumer’s personal property or secured by personal property, excluding motor vehicles that are free of any other liens or encumbrances, that does not have a market value that reasonably secures the amount of the loan, and the consumer: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w:t>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(ii)</w:t>
      </w:r>
      <w:r w:rsidRPr="0028414E">
        <w:rPr>
          <w:color w:val="000000" w:themeColor="text1"/>
          <w:szCs w:val="22"/>
          <w:u w:color="000000" w:themeColor="text1"/>
        </w:rPr>
        <w:tab/>
      </w:r>
      <w:r w:rsidRPr="0028414E">
        <w:rPr>
          <w:color w:val="000000" w:themeColor="text1"/>
          <w:szCs w:val="22"/>
          <w:u w:val="single" w:color="000000" w:themeColor="text1"/>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 or remotely created consumer item as defined in Section 36</w:t>
      </w:r>
      <w:r w:rsidRPr="0028414E">
        <w:rPr>
          <w:color w:val="000000" w:themeColor="text1"/>
          <w:szCs w:val="22"/>
          <w:u w:val="single" w:color="000000" w:themeColor="text1"/>
        </w:rPr>
        <w:noBreakHyphen/>
        <w:t>3</w:t>
      </w:r>
      <w:r w:rsidRPr="0028414E">
        <w:rPr>
          <w:color w:val="000000" w:themeColor="text1"/>
          <w:szCs w:val="22"/>
          <w:u w:val="single" w:color="000000" w:themeColor="text1"/>
        </w:rPr>
        <w:noBreakHyphen/>
        <w:t xml:space="preserve">103(16). </w:t>
      </w:r>
      <w:r w:rsidRPr="0028414E">
        <w:rPr>
          <w:color w:val="000000" w:themeColor="text1"/>
          <w:szCs w:val="22"/>
          <w:u w:color="000000" w:themeColor="text1"/>
        </w:rPr>
        <w:tab/>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(2)</w:t>
      </w:r>
      <w:r w:rsidRPr="0028414E">
        <w:rPr>
          <w:color w:val="000000" w:themeColor="text1"/>
          <w:szCs w:val="22"/>
          <w:u w:color="000000" w:themeColor="text1"/>
        </w:rPr>
        <w:tab/>
      </w:r>
      <w:r w:rsidRPr="0028414E">
        <w:rPr>
          <w:color w:val="000000" w:themeColor="text1"/>
          <w:szCs w:val="22"/>
          <w:u w:val="single" w:color="000000" w:themeColor="text1"/>
        </w:rPr>
        <w:t>The board shall impose the following penalties for violation of this item:</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(a)</w:t>
      </w:r>
      <w:r w:rsidRPr="0028414E">
        <w:rPr>
          <w:color w:val="000000" w:themeColor="text1"/>
          <w:szCs w:val="22"/>
          <w:u w:color="000000" w:themeColor="text1"/>
        </w:rPr>
        <w:tab/>
      </w:r>
      <w:r w:rsidRPr="0028414E">
        <w:rPr>
          <w:color w:val="000000" w:themeColor="text1"/>
          <w:szCs w:val="22"/>
          <w:u w:val="single" w:color="000000" w:themeColor="text1"/>
        </w:rPr>
        <w:t>a fine of $500.00 for the first violation;</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(b)</w:t>
      </w:r>
      <w:r w:rsidRPr="0028414E">
        <w:rPr>
          <w:color w:val="000000" w:themeColor="text1"/>
          <w:szCs w:val="22"/>
          <w:u w:color="000000" w:themeColor="text1"/>
        </w:rPr>
        <w:tab/>
      </w:r>
      <w:r w:rsidRPr="0028414E">
        <w:rPr>
          <w:color w:val="000000" w:themeColor="text1"/>
          <w:szCs w:val="22"/>
          <w:u w:val="single" w:color="000000" w:themeColor="text1"/>
        </w:rPr>
        <w:t xml:space="preserve">a fine of $1,000.00 for the second violation; </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(c)</w:t>
      </w:r>
      <w:r w:rsidRPr="0028414E">
        <w:rPr>
          <w:color w:val="000000" w:themeColor="text1"/>
          <w:szCs w:val="22"/>
          <w:u w:color="000000" w:themeColor="text1"/>
        </w:rPr>
        <w:tab/>
      </w:r>
      <w:r w:rsidRPr="0028414E">
        <w:rPr>
          <w:color w:val="000000" w:themeColor="text1"/>
          <w:szCs w:val="22"/>
          <w:u w:val="single" w:color="000000" w:themeColor="text1"/>
        </w:rPr>
        <w:t>permanent revocation of license for the third violation.</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lastRenderedPageBreak/>
        <w:tab/>
      </w:r>
      <w:r w:rsidRPr="0028414E">
        <w:rPr>
          <w:color w:val="000000" w:themeColor="text1"/>
          <w:szCs w:val="22"/>
          <w:u w:val="single" w:color="000000" w:themeColor="text1"/>
        </w:rPr>
        <w:t>The board may not revoke a license issued pursuant to this chapter unless the licensee has been given notice and opportunity for hearing in accordance with the Administrative Procedures Act.</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(3)</w:t>
      </w:r>
      <w:r w:rsidRPr="0028414E">
        <w:rPr>
          <w:color w:val="000000" w:themeColor="text1"/>
          <w:szCs w:val="22"/>
          <w:u w:color="000000" w:themeColor="text1"/>
        </w:rPr>
        <w:tab/>
      </w:r>
      <w:r w:rsidRPr="0028414E">
        <w:rPr>
          <w:color w:val="000000" w:themeColor="text1"/>
          <w:szCs w:val="22"/>
          <w:u w:val="single" w:color="000000" w:themeColor="text1"/>
        </w:rPr>
        <w:t>In addition to the penalties required in item (2), the board or the court may order and impose civil penalties upon a person subject to the provisions of this article for violations of this article or its regulations in an amount not to exceed one thousand dollars for each violation.  The board also may order repayment of unlawful or excessive fees charged to customers.</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val="single" w:color="000000" w:themeColor="text1"/>
        </w:rPr>
        <w:t>(c)</w:t>
      </w:r>
      <w:r w:rsidRPr="0028414E">
        <w:rPr>
          <w:color w:val="000000" w:themeColor="text1"/>
          <w:szCs w:val="22"/>
          <w:u w:color="000000" w:themeColor="text1"/>
        </w:rPr>
        <w:tab/>
      </w:r>
      <w:r w:rsidRPr="0028414E">
        <w:rPr>
          <w:color w:val="000000" w:themeColor="text1"/>
          <w:szCs w:val="22"/>
          <w:u w:val="single" w:color="000000" w:themeColor="text1"/>
        </w:rPr>
        <w:t>The provisions of subsection (b)(1) do not apply to credit unions, bank holding companies, banks, or financial institutions insured by the Federal Deposit Insurance Corporation.</w:t>
      </w:r>
    </w:p>
    <w:p w:rsidR="00BE5562" w:rsidRPr="0028414E" w:rsidRDefault="00BE5562" w:rsidP="00FF3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8414E">
        <w:rPr>
          <w:color w:val="000000" w:themeColor="text1"/>
          <w:szCs w:val="22"/>
          <w:u w:color="000000" w:themeColor="text1"/>
        </w:rPr>
        <w:tab/>
      </w:r>
      <w:r w:rsidRPr="0028414E">
        <w:rPr>
          <w:color w:val="000000" w:themeColor="text1"/>
          <w:szCs w:val="22"/>
          <w:u w:val="single" w:color="000000" w:themeColor="text1"/>
        </w:rPr>
        <w:t>(d)</w:t>
      </w:r>
      <w:r w:rsidRPr="0028414E">
        <w:rPr>
          <w:color w:val="000000" w:themeColor="text1"/>
          <w:szCs w:val="22"/>
          <w:u w:color="000000" w:themeColor="text1"/>
        </w:rPr>
        <w:tab/>
      </w:r>
      <w:r w:rsidRPr="0028414E">
        <w:rPr>
          <w:color w:val="000000" w:themeColor="text1"/>
          <w:szCs w:val="22"/>
          <w:u w:val="single" w:color="000000" w:themeColor="text1"/>
        </w:rPr>
        <w:t>A person licensed to make supervised loans that makes supervised loans secured by a motor vehicle that have an original repayment term of less than one hundred twenty days must comply with the provisions contained in Section 37</w:t>
      </w:r>
      <w:r w:rsidRPr="0028414E">
        <w:rPr>
          <w:color w:val="000000" w:themeColor="text1"/>
          <w:szCs w:val="22"/>
          <w:u w:val="single" w:color="000000" w:themeColor="text1"/>
        </w:rPr>
        <w:noBreakHyphen/>
        <w:t>3</w:t>
      </w:r>
      <w:r w:rsidRPr="0028414E">
        <w:rPr>
          <w:color w:val="000000" w:themeColor="text1"/>
          <w:szCs w:val="22"/>
          <w:u w:val="single" w:color="000000" w:themeColor="text1"/>
        </w:rPr>
        <w:noBreakHyphen/>
        <w:t>413.</w:t>
      </w:r>
      <w:r w:rsidRPr="0028414E">
        <w:rPr>
          <w:color w:val="000000" w:themeColor="text1"/>
          <w:szCs w:val="22"/>
          <w:u w:color="000000" w:themeColor="text1"/>
        </w:rPr>
        <w:t>”</w:t>
      </w:r>
    </w:p>
    <w:p w:rsidR="00BE5562"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szCs w:val="22"/>
          <w:u w:color="000000" w:themeColor="text1"/>
        </w:rPr>
      </w:pPr>
    </w:p>
    <w:p w:rsidR="00BE5562"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r>
      <w:r>
        <w:rPr>
          <w:color w:val="000000" w:themeColor="text1"/>
          <w:szCs w:val="22"/>
          <w:u w:color="000000" w:themeColor="text1"/>
        </w:rPr>
        <w:t>5</w:t>
      </w:r>
      <w:r w:rsidRPr="00EE3C90">
        <w:rPr>
          <w:color w:val="000000" w:themeColor="text1"/>
          <w:szCs w:val="22"/>
          <w:u w:color="000000" w:themeColor="text1"/>
        </w:rPr>
        <w:t>.</w:t>
      </w:r>
      <w:r w:rsidRPr="00EE3C90">
        <w:rPr>
          <w:color w:val="000000" w:themeColor="text1"/>
          <w:szCs w:val="22"/>
          <w:u w:color="000000" w:themeColor="text1"/>
        </w:rPr>
        <w:tab/>
        <w:t>This act takes effect upon approval by the Governor.</w:t>
      </w:r>
    </w:p>
    <w:p w:rsidR="0049085F" w:rsidRDefault="00E0543C"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85F" w:rsidRDefault="0049085F" w:rsidP="00046724">
      <w:pPr>
        <w:suppressAutoHyphens/>
      </w:pPr>
    </w:p>
    <w:sectPr w:rsidR="0049085F" w:rsidSect="00155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551" w:rsidRDefault="00F03551">
      <w:r>
        <w:separator/>
      </w:r>
    </w:p>
  </w:endnote>
  <w:endnote w:type="continuationSeparator" w:id="0">
    <w:p w:rsidR="00F03551" w:rsidRDefault="00F03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DDA4F5-D673-4DC2-92AE-699BD8E7FFC6}"/>
    <w:embedBold r:id="rId2" w:fontKey="{B1592EC8-6A6A-4EB8-96FD-34FBBC92C63C}"/>
  </w:font>
  <w:font w:name="Calibri">
    <w:panose1 w:val="020F0502020204030204"/>
    <w:charset w:val="00"/>
    <w:family w:val="swiss"/>
    <w:pitch w:val="variable"/>
    <w:sig w:usb0="A00002EF" w:usb1="4000207B" w:usb2="00000000" w:usb3="00000000" w:csb0="0000009F" w:csb1="00000000"/>
    <w:embedRegular r:id="rId3" w:fontKey="{D330AA99-E6FA-42CD-95F0-D3B95C0F2B22}"/>
  </w:font>
  <w:font w:name="Consolas">
    <w:panose1 w:val="020B0609020204030204"/>
    <w:charset w:val="00"/>
    <w:family w:val="modern"/>
    <w:pitch w:val="fixed"/>
    <w:sig w:usb0="A00002EF" w:usb1="4000204B" w:usb2="00000000" w:usb3="00000000" w:csb0="0000009F" w:csb1="00000000"/>
    <w:embedRegular r:id="rId4" w:fontKey="{D030D714-8653-4627-8266-DEE239FC7999}"/>
  </w:font>
  <w:font w:name="Tahoma">
    <w:panose1 w:val="020B0604030504040204"/>
    <w:charset w:val="00"/>
    <w:family w:val="swiss"/>
    <w:pitch w:val="variable"/>
    <w:sig w:usb0="61002A87" w:usb1="80000000" w:usb2="00000008" w:usb3="00000000" w:csb0="000101FF" w:csb1="00000000"/>
    <w:embedRegular r:id="rId5" w:fontKey="{FA818484-4C90-4022-8065-CB38944E4A02}"/>
  </w:font>
  <w:font w:name="Cambria">
    <w:panose1 w:val="02040503050406030204"/>
    <w:charset w:val="00"/>
    <w:family w:val="roman"/>
    <w:pitch w:val="variable"/>
    <w:sig w:usb0="A00002EF" w:usb1="4000004B" w:usb2="00000000" w:usb3="00000000" w:csb0="0000009F" w:csb1="00000000"/>
    <w:embedRegular r:id="rId6" w:fontKey="{436FD165-634E-47A7-A38F-10D48268B8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51" w:rsidRDefault="00F03551">
    <w:pPr>
      <w:pStyle w:val="Footer"/>
      <w:tabs>
        <w:tab w:val="clear" w:pos="4680"/>
        <w:tab w:val="clear" w:pos="9360"/>
        <w:tab w:val="center" w:pos="2995"/>
      </w:tabs>
      <w:spacing w:before="120"/>
    </w:pPr>
    <w:r>
      <w:t>[3790-</w:t>
    </w:r>
    <w:fldSimple w:instr=" PAGE  \* MERGEFORMAT ">
      <w:r w:rsidR="000467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51" w:rsidRDefault="00F03551">
    <w:pPr>
      <w:pStyle w:val="Footer"/>
      <w:tabs>
        <w:tab w:val="clear" w:pos="4680"/>
        <w:tab w:val="clear" w:pos="9360"/>
        <w:tab w:val="center" w:pos="2995"/>
      </w:tabs>
      <w:spacing w:before="120"/>
    </w:pPr>
    <w:r>
      <w:t>[3790]</w:t>
    </w:r>
    <w:r>
      <w:tab/>
    </w:r>
    <w:fldSimple w:instr=" PAGE  \* MERGEFORMAT ">
      <w:r w:rsidR="000467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551" w:rsidRDefault="00F03551">
      <w:r>
        <w:separator/>
      </w:r>
    </w:p>
  </w:footnote>
  <w:footnote w:type="continuationSeparator" w:id="0">
    <w:p w:rsidR="00F03551" w:rsidRDefault="00F035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MM09"/>
    <w:docVar w:name="CoverBillType" w:val="b"/>
    <w:docVar w:name="docpath" w:val="L:\Council\bills\AGM\19359MM09.DOCX"/>
    <w:docVar w:name="dvBillNumber" w:val="3790"/>
    <w:docVar w:name="dvBillNumberPrefix" w:val="H. "/>
    <w:docVar w:name="dvOriginalBody" w:val="House"/>
    <w:docVar w:name="dvSteno" w:val="AGM"/>
    <w:docVar w:name="NameofBody" w:val="h"/>
    <w:docVar w:name="vgroup2" w:val="Council"/>
  </w:docVars>
  <w:rsids>
    <w:rsidRoot w:val="0049085F"/>
    <w:rsid w:val="000214FD"/>
    <w:rsid w:val="00046724"/>
    <w:rsid w:val="001555E1"/>
    <w:rsid w:val="0015586F"/>
    <w:rsid w:val="0019173D"/>
    <w:rsid w:val="00197FCE"/>
    <w:rsid w:val="00207443"/>
    <w:rsid w:val="00217BE3"/>
    <w:rsid w:val="0023406B"/>
    <w:rsid w:val="002B74D6"/>
    <w:rsid w:val="00322BB7"/>
    <w:rsid w:val="00423B43"/>
    <w:rsid w:val="004501D3"/>
    <w:rsid w:val="0049085F"/>
    <w:rsid w:val="004E3A5C"/>
    <w:rsid w:val="00506898"/>
    <w:rsid w:val="00591CB3"/>
    <w:rsid w:val="005D4D2B"/>
    <w:rsid w:val="00676FF1"/>
    <w:rsid w:val="007C3289"/>
    <w:rsid w:val="00AB0438"/>
    <w:rsid w:val="00B40E57"/>
    <w:rsid w:val="00BD41F4"/>
    <w:rsid w:val="00BE5562"/>
    <w:rsid w:val="00C744F8"/>
    <w:rsid w:val="00D65F50"/>
    <w:rsid w:val="00E0543C"/>
    <w:rsid w:val="00F03551"/>
    <w:rsid w:val="00F50365"/>
    <w:rsid w:val="00F84164"/>
    <w:rsid w:val="00FF3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08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85F"/>
    <w:rPr>
      <w:rFonts w:eastAsia="Times New Roman" w:cs="Times New Roman"/>
      <w:b/>
      <w:sz w:val="30"/>
      <w:szCs w:val="20"/>
    </w:rPr>
  </w:style>
  <w:style w:type="paragraph" w:styleId="Header">
    <w:name w:val="header"/>
    <w:basedOn w:val="Normal"/>
    <w:link w:val="HeaderChar"/>
    <w:unhideWhenUsed/>
    <w:rsid w:val="0049085F"/>
    <w:pPr>
      <w:tabs>
        <w:tab w:val="center" w:pos="4320"/>
        <w:tab w:val="right" w:pos="8640"/>
      </w:tabs>
    </w:pPr>
  </w:style>
  <w:style w:type="character" w:customStyle="1" w:styleId="HeaderChar">
    <w:name w:val="Header Char"/>
    <w:basedOn w:val="DefaultParagraphFont"/>
    <w:link w:val="Header"/>
    <w:rsid w:val="0049085F"/>
    <w:rPr>
      <w:rFonts w:eastAsia="Times New Roman" w:cs="Times New Roman"/>
      <w:szCs w:val="20"/>
    </w:rPr>
  </w:style>
  <w:style w:type="paragraph" w:styleId="Footer">
    <w:name w:val="footer"/>
    <w:basedOn w:val="Normal"/>
    <w:link w:val="FooterChar"/>
    <w:uiPriority w:val="99"/>
    <w:unhideWhenUsed/>
    <w:rsid w:val="0049085F"/>
    <w:pPr>
      <w:tabs>
        <w:tab w:val="center" w:pos="4680"/>
        <w:tab w:val="right" w:pos="9360"/>
      </w:tabs>
    </w:pPr>
  </w:style>
  <w:style w:type="character" w:customStyle="1" w:styleId="FooterChar">
    <w:name w:val="Footer Char"/>
    <w:basedOn w:val="DefaultParagraphFont"/>
    <w:link w:val="Footer"/>
    <w:uiPriority w:val="99"/>
    <w:rsid w:val="0049085F"/>
    <w:rPr>
      <w:rFonts w:eastAsia="Times New Roman" w:cs="Times New Roman"/>
      <w:szCs w:val="20"/>
    </w:rPr>
  </w:style>
  <w:style w:type="character" w:styleId="PageNumber">
    <w:name w:val="page number"/>
    <w:basedOn w:val="DefaultParagraphFont"/>
    <w:uiPriority w:val="99"/>
    <w:semiHidden/>
    <w:unhideWhenUsed/>
    <w:rsid w:val="0049085F"/>
  </w:style>
  <w:style w:type="character" w:styleId="LineNumber">
    <w:name w:val="line number"/>
    <w:basedOn w:val="DefaultParagraphFont"/>
    <w:uiPriority w:val="99"/>
    <w:semiHidden/>
    <w:unhideWhenUsed/>
    <w:rsid w:val="0049085F"/>
  </w:style>
  <w:style w:type="paragraph" w:customStyle="1" w:styleId="BillDots">
    <w:name w:val="Bill Dots"/>
    <w:basedOn w:val="Normal"/>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085F"/>
    <w:pPr>
      <w:tabs>
        <w:tab w:val="right" w:pos="5904"/>
      </w:tabs>
    </w:pPr>
  </w:style>
  <w:style w:type="paragraph" w:customStyle="1" w:styleId="BillDots0">
    <w:name w:val="BillDots"/>
    <w:basedOn w:val="Normal"/>
    <w:autoRedefine/>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085F"/>
    <w:pPr>
      <w:tabs>
        <w:tab w:val="right" w:pos="5904"/>
      </w:tabs>
    </w:pPr>
  </w:style>
  <w:style w:type="numbering" w:customStyle="1" w:styleId="NoList1">
    <w:name w:val="No List1"/>
    <w:next w:val="NoList"/>
    <w:uiPriority w:val="99"/>
    <w:semiHidden/>
    <w:unhideWhenUsed/>
    <w:rsid w:val="0049085F"/>
  </w:style>
  <w:style w:type="paragraph" w:styleId="PlainText">
    <w:name w:val="Plain Text"/>
    <w:basedOn w:val="Normal"/>
    <w:link w:val="PlainTextChar"/>
    <w:uiPriority w:val="99"/>
    <w:unhideWhenUsed/>
    <w:rsid w:val="0049085F"/>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9085F"/>
    <w:rPr>
      <w:rFonts w:ascii="Consolas" w:hAnsi="Consolas"/>
      <w:sz w:val="21"/>
      <w:szCs w:val="21"/>
    </w:rPr>
  </w:style>
  <w:style w:type="paragraph" w:styleId="BalloonText">
    <w:name w:val="Balloon Text"/>
    <w:basedOn w:val="Normal"/>
    <w:link w:val="BalloonTextChar"/>
    <w:uiPriority w:val="99"/>
    <w:unhideWhenUsed/>
    <w:rsid w:val="0049085F"/>
    <w:rPr>
      <w:rFonts w:ascii="Tahoma" w:hAnsi="Tahoma" w:cs="Tahoma"/>
      <w:sz w:val="16"/>
      <w:szCs w:val="16"/>
    </w:rPr>
  </w:style>
  <w:style w:type="character" w:customStyle="1" w:styleId="BalloonTextChar">
    <w:name w:val="Balloon Text Char"/>
    <w:basedOn w:val="DefaultParagraphFont"/>
    <w:link w:val="BalloonText"/>
    <w:uiPriority w:val="99"/>
    <w:rsid w:val="0049085F"/>
    <w:rPr>
      <w:rFonts w:ascii="Tahoma" w:eastAsia="Times New Roman" w:hAnsi="Tahoma" w:cs="Tahoma"/>
      <w:sz w:val="16"/>
      <w:szCs w:val="16"/>
    </w:rPr>
  </w:style>
  <w:style w:type="numbering" w:customStyle="1" w:styleId="NoList2">
    <w:name w:val="No List2"/>
    <w:next w:val="NoList"/>
    <w:uiPriority w:val="99"/>
    <w:semiHidden/>
    <w:unhideWhenUsed/>
    <w:rsid w:val="00E0543C"/>
  </w:style>
  <w:style w:type="paragraph" w:styleId="BodyText">
    <w:name w:val="Body Text"/>
    <w:basedOn w:val="Normal"/>
    <w:link w:val="BodyTextChar"/>
    <w:uiPriority w:val="99"/>
    <w:rsid w:val="00E0543C"/>
    <w:rPr>
      <w:rFonts w:eastAsiaTheme="minorHAnsi" w:cstheme="minorBidi"/>
      <w:szCs w:val="22"/>
    </w:rPr>
  </w:style>
  <w:style w:type="character" w:customStyle="1" w:styleId="BodyTextChar">
    <w:name w:val="Body Text Char"/>
    <w:basedOn w:val="DefaultParagraphFont"/>
    <w:link w:val="BodyText"/>
    <w:uiPriority w:val="99"/>
    <w:rsid w:val="00E0543C"/>
  </w:style>
  <w:style w:type="numbering" w:customStyle="1" w:styleId="NoList11">
    <w:name w:val="No List11"/>
    <w:next w:val="NoList"/>
    <w:uiPriority w:val="99"/>
    <w:semiHidden/>
    <w:unhideWhenUsed/>
    <w:rsid w:val="00E0543C"/>
  </w:style>
  <w:style w:type="numbering" w:customStyle="1" w:styleId="NoList111">
    <w:name w:val="No List111"/>
    <w:next w:val="NoList"/>
    <w:uiPriority w:val="99"/>
    <w:semiHidden/>
    <w:unhideWhenUsed/>
    <w:rsid w:val="00E0543C"/>
  </w:style>
  <w:style w:type="character" w:styleId="Hyperlink">
    <w:name w:val="Hyperlink"/>
    <w:basedOn w:val="DefaultParagraphFont"/>
    <w:uiPriority w:val="99"/>
    <w:unhideWhenUsed/>
    <w:rsid w:val="00E0543C"/>
    <w:rPr>
      <w:color w:val="0000FF" w:themeColor="hyperlink"/>
      <w:u w:val="single"/>
    </w:rPr>
  </w:style>
  <w:style w:type="numbering" w:customStyle="1" w:styleId="NoList21">
    <w:name w:val="No List21"/>
    <w:next w:val="NoList"/>
    <w:uiPriority w:val="99"/>
    <w:semiHidden/>
    <w:unhideWhenUsed/>
    <w:rsid w:val="00E0543C"/>
  </w:style>
  <w:style w:type="numbering" w:customStyle="1" w:styleId="NoList12">
    <w:name w:val="No List12"/>
    <w:next w:val="NoList"/>
    <w:uiPriority w:val="99"/>
    <w:semiHidden/>
    <w:unhideWhenUsed/>
    <w:rsid w:val="00E0543C"/>
  </w:style>
  <w:style w:type="character" w:styleId="FollowedHyperlink">
    <w:name w:val="FollowedHyperlink"/>
    <w:basedOn w:val="DefaultParagraphFont"/>
    <w:uiPriority w:val="99"/>
    <w:semiHidden/>
    <w:unhideWhenUsed/>
    <w:rsid w:val="00217B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6C5B3-7835-4BED-99BA-22A3F99C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BrentWalling</cp:lastModifiedBy>
  <cp:revision>2</cp:revision>
  <cp:lastPrinted>2009-04-30T23:44:00Z</cp:lastPrinted>
  <dcterms:created xsi:type="dcterms:W3CDTF">2010-05-20T18:52:00Z</dcterms:created>
  <dcterms:modified xsi:type="dcterms:W3CDTF">2010-05-20T18:52:00Z</dcterms:modified>
</cp:coreProperties>
</file>