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3766" w:rsidRDefault="007F3766">
      <w:pPr>
        <w:pStyle w:val="BillDots"/>
      </w:pPr>
      <w:r>
        <w:t>INTRODUCED</w:t>
      </w:r>
    </w:p>
    <w:p w:rsidR="007F3766" w:rsidRDefault="007F3766">
      <w:pPr>
        <w:pStyle w:val="BillDots"/>
      </w:pPr>
      <w:r>
        <w:t>April 28, 2009</w:t>
      </w:r>
    </w:p>
    <w:p w:rsidR="007F3766" w:rsidRDefault="007F3766">
      <w:pPr>
        <w:pStyle w:val="BillDots"/>
      </w:pPr>
    </w:p>
    <w:p w:rsidR="007F3766" w:rsidRPr="007F3766" w:rsidRDefault="007F3766" w:rsidP="007F3766">
      <w:pPr>
        <w:pStyle w:val="BillDots"/>
        <w:tabs>
          <w:tab w:val="clear" w:pos="216"/>
          <w:tab w:val="clear" w:pos="432"/>
          <w:tab w:val="clear" w:pos="648"/>
          <w:tab w:val="clear" w:pos="864"/>
          <w:tab w:val="clear" w:pos="1080"/>
          <w:tab w:val="clear" w:pos="1296"/>
          <w:tab w:val="clear" w:pos="5904"/>
          <w:tab w:val="right" w:pos="5933"/>
        </w:tabs>
      </w:pPr>
      <w:r>
        <w:tab/>
      </w:r>
      <w:r>
        <w:rPr>
          <w:b/>
          <w:sz w:val="36"/>
        </w:rPr>
        <w:t>H. 3872</w:t>
      </w:r>
    </w:p>
    <w:p w:rsidR="007F3766" w:rsidRDefault="007F3766">
      <w:pPr>
        <w:pStyle w:val="BillDots"/>
      </w:pPr>
    </w:p>
    <w:p w:rsidR="007F3766" w:rsidRDefault="007F3766">
      <w:pPr>
        <w:pStyle w:val="BillDots"/>
      </w:pPr>
      <w:r>
        <w:t>Introduced by Reps. Cato, Bannister, Wylie, Loftis, Bedingfield, Allen, Stringer, Nanney, Dillard, Hamilton, Rice, G.R. Smith and Willis</w:t>
      </w:r>
    </w:p>
    <w:p w:rsidR="007F3766" w:rsidRDefault="007F3766">
      <w:pPr>
        <w:pStyle w:val="BillDots"/>
      </w:pPr>
    </w:p>
    <w:p w:rsidR="007F3766" w:rsidRDefault="007F3766">
      <w:pPr>
        <w:pStyle w:val="BillDots"/>
      </w:pPr>
      <w:r>
        <w:t>S. Printed 4/28/09--S.</w:t>
      </w:r>
    </w:p>
    <w:p w:rsidR="007F3766" w:rsidRDefault="007F3766">
      <w:pPr>
        <w:pStyle w:val="BillDots"/>
      </w:pPr>
      <w:r>
        <w:t>Read the first time April 28, 2009.</w:t>
      </w:r>
    </w:p>
    <w:p w:rsidR="007F3766" w:rsidRPr="007F3766" w:rsidRDefault="007F3766" w:rsidP="007F3766">
      <w:pPr>
        <w:pStyle w:val="BillDots"/>
        <w:jc w:val="center"/>
      </w:pPr>
      <w:r>
        <w:rPr>
          <w:u w:val="single"/>
        </w:rPr>
        <w:t>            </w:t>
      </w:r>
    </w:p>
    <w:p w:rsidR="007F3766" w:rsidRDefault="007F3766">
      <w:pPr>
        <w:pStyle w:val="BillDots"/>
      </w:pPr>
    </w:p>
    <w:p w:rsidR="000504F2" w:rsidRDefault="000504F2">
      <w:pPr>
        <w:pStyle w:val="BillDots"/>
        <w:sectPr w:rsidR="000504F2" w:rsidSect="000504F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273F5" w:rsidRDefault="007273F5">
      <w:pPr>
        <w:pStyle w:val="BillDots"/>
      </w:pPr>
    </w:p>
    <w:p w:rsidR="007273F5" w:rsidRDefault="007273F5">
      <w:pPr>
        <w:pStyle w:val="Numbersforbills"/>
      </w:pPr>
    </w:p>
    <w:p w:rsidR="007273F5" w:rsidRDefault="00727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3F5" w:rsidRDefault="00727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3F5" w:rsidRDefault="00727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3F5" w:rsidRDefault="00727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3F5" w:rsidRDefault="00727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3F5" w:rsidRDefault="00727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3F5" w:rsidRDefault="000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7273F5" w:rsidRDefault="00727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3F5" w:rsidRDefault="000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THE CODE OF LAWS OF SOUTH CAROLINA, 1976, BY ADDING ARTICLE 26 TO CHAPTER 53, TITLE 59 SO AS TO ENACT THE “GREENVILLE TECHNICAL COLLEGE ENTERPRISE CAMPUS AUTHORITY ACT”, AND TO PROVIDE FOR THE POWERS AND DUTIES OF THE GREENVILLE TECHNICAL COLLEGE ENTERPRISE CAMPUS AUTHORITY. </w:t>
      </w:r>
    </w:p>
    <w:p w:rsidR="007273F5" w:rsidRDefault="00727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273F5" w:rsidRDefault="000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273F5" w:rsidRDefault="00727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3F5" w:rsidRDefault="000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Pr>
          <w:rFonts w:eastAsia="MS Mincho"/>
        </w:rPr>
        <w:t>The General Assembly finds that:</w:t>
      </w:r>
    </w:p>
    <w:p w:rsidR="007273F5" w:rsidRDefault="000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s="Courier New"/>
        </w:rPr>
      </w:pPr>
      <w:r>
        <w:rPr>
          <w:rFonts w:eastAsia="MS Mincho" w:cs="Courier New"/>
        </w:rPr>
        <w:tab/>
        <w:t>(1)</w:t>
      </w:r>
      <w:r>
        <w:rPr>
          <w:rFonts w:eastAsia="MS Mincho" w:cs="Courier New"/>
        </w:rPr>
        <w:tab/>
        <w:t>the State Board for Technical and Comprehensive Education (board) and its colleges are in a unique position to be active and full participants in the state</w:t>
      </w:r>
      <w:r>
        <w:rPr>
          <w:rFonts w:eastAsia="MS Mincho"/>
        </w:rPr>
        <w:t>’</w:t>
      </w:r>
      <w:r>
        <w:rPr>
          <w:rFonts w:eastAsia="MS Mincho" w:cs="Courier New"/>
        </w:rPr>
        <w:t xml:space="preserve">s effort to promote and enhance the economic development of this State through the location and development of high technology businesses and industries;  </w:t>
      </w:r>
    </w:p>
    <w:p w:rsidR="007273F5" w:rsidRDefault="000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s="Courier New"/>
        </w:rPr>
      </w:pPr>
      <w:r>
        <w:rPr>
          <w:rFonts w:eastAsia="MS Mincho" w:cs="Courier New"/>
        </w:rPr>
        <w:tab/>
        <w:t>(2)</w:t>
      </w:r>
      <w:r>
        <w:rPr>
          <w:rFonts w:eastAsia="MS Mincho" w:cs="Courier New"/>
        </w:rPr>
        <w:tab/>
        <w:t>the role of the board and the colleges to provide educational and job training opportunities for citizens complements and enhances the ability of the state</w:t>
      </w:r>
      <w:r>
        <w:rPr>
          <w:rFonts w:eastAsia="MS Mincho"/>
        </w:rPr>
        <w:t>’</w:t>
      </w:r>
      <w:r>
        <w:rPr>
          <w:rFonts w:eastAsia="MS Mincho" w:cs="Courier New"/>
        </w:rPr>
        <w:t>s research universities to pursue and engage the high technology community;</w:t>
      </w:r>
    </w:p>
    <w:p w:rsidR="007273F5" w:rsidRDefault="000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r>
        <w:rPr>
          <w:rFonts w:eastAsia="MS Mincho" w:cs="Courier New"/>
        </w:rPr>
        <w:tab/>
        <w:t>(3)</w:t>
      </w:r>
      <w:r>
        <w:rPr>
          <w:rFonts w:eastAsia="MS Mincho" w:cs="Courier New"/>
        </w:rPr>
        <w:tab/>
        <w:t>the board and the colleges can better utilize their resources if necessary powers and flexibility are granted by the General Assembly for the board and the colleges to fulfill their role in a high technology economy;</w:t>
      </w:r>
    </w:p>
    <w:p w:rsidR="007273F5" w:rsidRDefault="000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r>
        <w:rPr>
          <w:rFonts w:eastAsia="MS Mincho" w:cs="Courier New"/>
        </w:rPr>
        <w:tab/>
        <w:t>(4)</w:t>
      </w:r>
      <w:r>
        <w:rPr>
          <w:rFonts w:eastAsia="MS Mincho" w:cs="Courier New"/>
        </w:rPr>
        <w:tab/>
        <w:t>it is in the best interest of the State to provide the powers and flexibility for the board, and the best method for accomplishing this is through the creation and establishment of separate and distinct instrumentalities of the State;</w:t>
      </w:r>
    </w:p>
    <w:p w:rsidR="007273F5" w:rsidRDefault="000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r>
        <w:rPr>
          <w:rFonts w:eastAsia="MS Mincho" w:cs="Courier New"/>
        </w:rPr>
        <w:tab/>
        <w:t>(5)</w:t>
      </w:r>
      <w:r>
        <w:rPr>
          <w:rFonts w:eastAsia="MS Mincho" w:cs="Courier New"/>
        </w:rPr>
        <w:tab/>
        <w:t xml:space="preserve">the board shall carefully review and approve each individual project brought to it by these colleges and </w:t>
      </w:r>
      <w:r>
        <w:rPr>
          <w:rFonts w:eastAsia="MS Mincho" w:cs="Courier New"/>
        </w:rPr>
        <w:lastRenderedPageBreak/>
        <w:t>instrumentalities and will approve projects based on the best interest of the State; and</w:t>
      </w:r>
    </w:p>
    <w:p w:rsidR="007273F5" w:rsidRDefault="000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ab/>
        <w:t>(6)</w:t>
      </w:r>
      <w:r>
        <w:rPr>
          <w:rFonts w:eastAsia="MS Mincho"/>
        </w:rPr>
        <w:tab/>
        <w:t>authorizations contained in this act are in the public interest, serve a public purpose, and promote the health, safety, welfare, and convenience of the people of the State.</w:t>
      </w:r>
    </w:p>
    <w:p w:rsidR="007273F5" w:rsidRDefault="00727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3F5" w:rsidRDefault="000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may be cited as the “Greenville Technical College Enterprise Campus Authority Act”.</w:t>
      </w:r>
    </w:p>
    <w:p w:rsidR="007273F5" w:rsidRDefault="00727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3F5" w:rsidRDefault="000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Chapter 53, Title 59 of the 1976 Code is amended by adding:</w:t>
      </w:r>
    </w:p>
    <w:p w:rsidR="007273F5" w:rsidRDefault="00727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273F5" w:rsidRDefault="000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26</w:t>
      </w:r>
    </w:p>
    <w:p w:rsidR="007273F5" w:rsidRDefault="00727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7273F5" w:rsidRDefault="000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Greenville Technical College Enterprise</w:t>
      </w:r>
    </w:p>
    <w:p w:rsidR="007273F5" w:rsidRDefault="000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Campus Authority Act</w:t>
      </w:r>
    </w:p>
    <w:p w:rsidR="007273F5" w:rsidRDefault="00727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273F5" w:rsidRDefault="000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53</w:t>
      </w:r>
      <w:r>
        <w:noBreakHyphen/>
        <w:t>2300.As used in this article, unless the context clearly requires otherwise:</w:t>
      </w:r>
    </w:p>
    <w:p w:rsidR="007273F5" w:rsidRDefault="000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‘Authority’ means the Greenville Technical College Enterprise Campus Authority.</w:t>
      </w:r>
    </w:p>
    <w:p w:rsidR="007273F5" w:rsidRDefault="000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‘Board’ means the governing body of the authority.</w:t>
      </w:r>
    </w:p>
    <w:p w:rsidR="007273F5" w:rsidRDefault="000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‘Commission’ means the Greenville Technical College Commission.</w:t>
      </w:r>
    </w:p>
    <w:p w:rsidR="007273F5" w:rsidRDefault="000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‘Enterprise campus’ means the real and personal property subject to the management and control of the authority.  The enterprise campus may consist of one or more tracts or parcels of real property and none of the tracts or parcels has to be contiguous with other properties constituting the enterprise campus.</w:t>
      </w:r>
    </w:p>
    <w:p w:rsidR="007273F5" w:rsidRDefault="00727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273F5" w:rsidRDefault="000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53</w:t>
      </w:r>
      <w:r>
        <w:noBreakHyphen/>
        <w:t>2310.</w:t>
      </w:r>
      <w:r>
        <w:tab/>
        <w:t>(A)</w:t>
      </w:r>
      <w:r>
        <w:tab/>
        <w:t>There is created a body politic and corporate known as the Greenville Technical College Enterprise Campus Authority.  The authority is declared to be a public instrumentality of the State and the exercise by it of any power conferred in this article is the performance of an essential public function.  The authority is governed by a board, which consists of members of the commission.  All members serve ex officio.  Persons serving as chairman, vice chairman, treasurer, and secretary of the commission shall serve in the same capacity on the board.  The members of the board shall receive per diem as provided for members of boards, commissions, and committees and actual expenses incurred in the performance of their duties.</w:t>
      </w:r>
    </w:p>
    <w:p w:rsidR="007273F5" w:rsidRDefault="000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board shall exercise the powers of the authority.</w:t>
      </w:r>
    </w:p>
    <w:p w:rsidR="007273F5" w:rsidRDefault="000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purpose of the authority is to provide for the management, development, and operation of the enterprise campus.</w:t>
      </w:r>
    </w:p>
    <w:p w:rsidR="007273F5" w:rsidRDefault="00727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273F5" w:rsidRDefault="000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53</w:t>
      </w:r>
      <w:r>
        <w:noBreakHyphen/>
        <w:t>2320.</w:t>
      </w:r>
      <w:r>
        <w:tab/>
        <w:t>(A)</w:t>
      </w:r>
      <w:r>
        <w:tab/>
        <w:t>In addition to the powers contained elsewhere in this article, the board has all power necessary, useful, or appropriate to operate and administer the authority, to effectuate the purposes of the authority, and to perform its other functions including, but not limited to, the power to:</w:t>
      </w:r>
    </w:p>
    <w:p w:rsidR="007273F5" w:rsidRDefault="000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have perpetual succession;</w:t>
      </w:r>
    </w:p>
    <w:p w:rsidR="007273F5" w:rsidRDefault="000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sue and be sued in its own name;</w:t>
      </w:r>
    </w:p>
    <w:p w:rsidR="007273F5" w:rsidRDefault="000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adopt, promulgate, amend, and repeal bylaws, not inconsistent with provisions in this article for the administration of the authority’s affairs and the implementation of its functions;</w:t>
      </w:r>
    </w:p>
    <w:p w:rsidR="007273F5" w:rsidRDefault="000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have a seal and alter it at its pleasure, although the failure to affix the seal does not affect the validity of an instrument executed on behalf of the authority;</w:t>
      </w:r>
    </w:p>
    <w:p w:rsidR="007273F5" w:rsidRDefault="000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make and execute contracts and all other instruments and agreements necessary or convenient for the performance of its duties and the exercise of its powers and functions;</w:t>
      </w:r>
    </w:p>
    <w:p w:rsidR="007273F5" w:rsidRDefault="000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buy, purchase, or otherwise acquire real and personal property and other assets and sell, convey, mortgage, pledge, lease, exchange, transfer, and otherwise dispose of all or any part of its real and personal property and other assets, upon such terms and conditions the board determines;</w:t>
      </w:r>
    </w:p>
    <w:p w:rsidR="007273F5" w:rsidRDefault="000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employ agents, advisors, consultants, engineers, architects, attorneys, accountants, construction and financial experts, land planners, superintendents, managers, and other employees and agents as necessary in the board’s judgment in connection with any aspect of the enterprise campus and to determine their duties and to fix their compensation;</w:t>
      </w:r>
    </w:p>
    <w:p w:rsidR="007273F5" w:rsidRDefault="000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procure insurance against any loss in connection with its property, assets, or activities, including insurance against liability for its acts or the acts of its employees or agents;</w:t>
      </w:r>
    </w:p>
    <w:p w:rsidR="007273F5" w:rsidRDefault="000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t>procure insurance, guarantees, letters of credit, and other forms of collateral or security or credit support from any public or private entities, including any department, agency, or instrumentality of the United States or the State of South Carolina, for the payment of any bonds issued by it, including the power to pay premiums or fees on any insurance, guarantees, letters of credit, and other forms of collateral or security or credit support;</w:t>
      </w:r>
    </w:p>
    <w:p w:rsidR="007273F5" w:rsidRDefault="000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(10) </w:t>
      </w:r>
      <w:r>
        <w:tab/>
        <w:t>receive, accept, and expend from any source including any federal, state, or other public agency and any private agency, person, or other entity appropriated funds, donations, loans, grants, aid, or contributions of money, property, labor, or other things of value;</w:t>
      </w:r>
    </w:p>
    <w:p w:rsidR="007273F5" w:rsidRDefault="000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t>invest or reinvest its funds as provided in Section 11</w:t>
      </w:r>
      <w:r>
        <w:noBreakHyphen/>
        <w:t>9</w:t>
      </w:r>
      <w:r>
        <w:noBreakHyphen/>
        <w:t>660;</w:t>
      </w:r>
    </w:p>
    <w:p w:rsidR="007273F5" w:rsidRDefault="000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t>make contracts and guarantees, incur liabilities, issue its notes, bonds, and other obligations, and secure any of its obligations by mortgage or pledge of any of its property, or income in a manner determined to be in the best interest of the authority.  Any guarantee or indebtedness of the authority does not create an obligation of the State or commission, nor must the guarantee or indebtedness be considered a debt against the general revenue of the State or commission;</w:t>
      </w:r>
    </w:p>
    <w:p w:rsidR="007273F5" w:rsidRDefault="000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(13)</w:t>
      </w:r>
      <w:r>
        <w:tab/>
        <w:t>fix and revise when necessary and charge and collect rates, fees, rents, and charges for the use of, and for the services furnished by it, for all or any portion of the enterprise campus;</w:t>
      </w:r>
    </w:p>
    <w:p w:rsidR="007273F5" w:rsidRDefault="000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(14)</w:t>
      </w:r>
      <w:r>
        <w:tab/>
        <w:t>determine the character of the enterprise campus, and acquire, develop, construct, and provide for the enterprise campus, and maintain, repair, and operate, and enter into contracts for the management, lease, use, or operation of all or any portion of the enterprise campus;</w:t>
      </w:r>
    </w:p>
    <w:p w:rsidR="007273F5" w:rsidRDefault="000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(15)</w:t>
      </w:r>
      <w:r>
        <w:tab/>
        <w:t>establish and enforce, and agree through any resolution or trust agreement authorizing or securing bonds, notes, or other obligations or indebtedness of the authority to make and enforce rules and regulations for the use of and services rendered by the authority for the enterprise campus;</w:t>
      </w:r>
    </w:p>
    <w:p w:rsidR="007273F5" w:rsidRDefault="000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(16)</w:t>
      </w:r>
      <w:r>
        <w:tab/>
        <w:t>appoint and provide for advisory committees;</w:t>
      </w:r>
    </w:p>
    <w:p w:rsidR="007273F5" w:rsidRDefault="000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(17)</w:t>
      </w:r>
      <w:r>
        <w:tab/>
        <w:t>establish not</w:t>
      </w:r>
      <w:r>
        <w:noBreakHyphen/>
        <w:t>for</w:t>
      </w:r>
      <w:r>
        <w:noBreakHyphen/>
        <w:t>profit corporations in accordance with applicable corporate law and with the powers as provided by the applicable corporate law; and</w:t>
      </w:r>
    </w:p>
    <w:p w:rsidR="007273F5" w:rsidRDefault="000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(18)</w:t>
      </w:r>
      <w:r>
        <w:tab/>
        <w:t>do all other things necessary or convenient to exercise the powers granted or reasonably implied by this article.</w:t>
      </w:r>
    </w:p>
    <w:p w:rsidR="007273F5" w:rsidRDefault="000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The powers contained in this article include the power to enter into contracts and other agreements with public or private entities for the lease of authority property, the construction, occupancy, use, and ownership by the public or private entity of buildings or other facilities on authority property, and the conveyance of the public or private entity’s property to the authority at the end of any applicable contract or agreement.  </w:t>
      </w:r>
    </w:p>
    <w:p w:rsidR="007273F5" w:rsidRDefault="00727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273F5" w:rsidRDefault="000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53</w:t>
      </w:r>
      <w:r>
        <w:noBreakHyphen/>
        <w:t>2330.</w:t>
      </w:r>
      <w:r>
        <w:tab/>
        <w:t>(A)</w:t>
      </w:r>
      <w:r>
        <w:tab/>
        <w:t>The authority shall comply with the provisions of Chapter 47, Title 2, but only State Budget and Control Board approval is required for leases and lease purchase agreements, including ground lease agreements, the terms and conditions thereof, and the consideration involved, for the construction or use of facilities on the enterprise campus.  Upon the expiration of the lease purchase agreements, including ground lease agreements, the private entity shall surrender to the authority the premises with the existing buildings, other structures, and improvements constructed and located on the enterprise campus, in the same condition as when the construction of the buildings, other structures, and improvements were completed, only natural and normal wear and tear excepted.  The approval of the State Budget and Control Board required for leases and lease purchase agreements, including ground lease agreements, is in lieu of or a substitute for any other approval required by another provision of law or regulation.  The full faith and credit of the State toward the lease obligations must not be pledged, and any statement to the contrary is void as a matter of public policy.</w:t>
      </w:r>
    </w:p>
    <w:p w:rsidR="007273F5" w:rsidRDefault="000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 authority shall adhere to fire, life, and safety codes as required by the Office of State Engineer.  In the leasing of property and the granting of easements and rights</w:t>
      </w:r>
      <w:r>
        <w:noBreakHyphen/>
        <w:t>of</w:t>
      </w:r>
      <w:r>
        <w:noBreakHyphen/>
        <w:t>way by the authority, the authority is exempt from the provisions of Sections 1</w:t>
      </w:r>
      <w:r>
        <w:noBreakHyphen/>
        <w:t>11</w:t>
      </w:r>
      <w:r>
        <w:noBreakHyphen/>
        <w:t>55, 1</w:t>
      </w:r>
      <w:r>
        <w:noBreakHyphen/>
        <w:t>11</w:t>
      </w:r>
      <w:r>
        <w:noBreakHyphen/>
        <w:t>56, and 10</w:t>
      </w:r>
      <w:r>
        <w:noBreakHyphen/>
        <w:t>1</w:t>
      </w:r>
      <w:r>
        <w:noBreakHyphen/>
        <w:t>130.</w:t>
      </w:r>
    </w:p>
    <w:p w:rsidR="007273F5" w:rsidRDefault="000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For all matters associated with the enterprise campus, the authority is exempt from the South Carolina Consolidated Procurement Code. However, the authority shall adopt a procurement policy requiring competitive solicitations that must be filed with and approved by the State Budget and Control Board.  The policy must include provisions for audit and recertification.</w:t>
      </w:r>
    </w:p>
    <w:p w:rsidR="007273F5" w:rsidRDefault="000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authority is exempt from all regulations and general laws governing disposal of surplus government property.</w:t>
      </w:r>
    </w:p>
    <w:p w:rsidR="007273F5" w:rsidRDefault="00727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273F5" w:rsidRDefault="000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53</w:t>
      </w:r>
      <w:r>
        <w:noBreakHyphen/>
        <w:t>2340.</w:t>
      </w:r>
      <w:r>
        <w:tab/>
        <w:t>(A)</w:t>
      </w:r>
      <w:r>
        <w:tab/>
        <w:t>The authority may issue bonds in the same manner and for the same purposes, including the purposes of the authority, pursuant to the provisions of the Higher Education Revenue Bond Act, as provided in Chapter 147, Title 59.</w:t>
      </w:r>
    </w:p>
    <w:p w:rsidR="007273F5" w:rsidRDefault="000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issuance by the authority of any bonds, notes, other obligations, or indebtedness is subject to the approval of them by resolution of the State Budget and Control Board.</w:t>
      </w:r>
    </w:p>
    <w:p w:rsidR="007273F5" w:rsidRDefault="000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Bonds, notes, other obligations, or indebtedness of the authority do not constitute a debt or a pledge of the faith and credit of the State of South Carolina, the commission, or any of the state’s political subdivisions other than the authority, but are payable only from the revenue, money, or property of the authority as provided in this article.  The bonds, notes, other obligations, or indebtedness of the authority do not constitute an indebtedness of the State within the meaning of any state constitutional or statutory limitation.  A member of the board or a person executing bonds, notes, other obligations, or indebtedness of the authority is not liable personally on the bonds, notes, other obligations, or indebtedness by reason of their issuance or execution.  Each bond, note, other obligation, or indebtedness must contain on its face a statement to the effect that:</w:t>
      </w:r>
    </w:p>
    <w:p w:rsidR="007273F5" w:rsidRDefault="000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State, the commission, any of the state’s political subdivisions, and the authority are not obligated to pay the principal of or interest on the bond or other costs incident to the bond except from the revenue, money, or property of the authority pledged;</w:t>
      </w:r>
    </w:p>
    <w:p w:rsidR="007273F5" w:rsidRDefault="000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the full faith and credit and the taxing power of the State and any of its political subdivisions are not pledged to the payment of the principal of or interest on the bond, note, other obligation, or indebtedness; and </w:t>
      </w:r>
    </w:p>
    <w:p w:rsidR="007273F5" w:rsidRDefault="000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authority does not have taxing power.</w:t>
      </w:r>
    </w:p>
    <w:p w:rsidR="007273F5" w:rsidRDefault="00727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273F5" w:rsidRDefault="000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53</w:t>
      </w:r>
      <w:r>
        <w:noBreakHyphen/>
        <w:t>2350.</w:t>
      </w:r>
      <w:r>
        <w:tab/>
        <w:t>The authority shall submit an annual report on the development and use of the enterprise campus to the State Board for Technical and Comprehensive Education, the Governor, the State Budget and Control Board, the Chairman of the Ways and Means Committee of the House of Representatives, and the Chairman of the Finance Committee of the Senate.  The report must be submitted not later than six months after the end of each fiscal year.</w:t>
      </w:r>
    </w:p>
    <w:p w:rsidR="007273F5" w:rsidRDefault="00727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273F5" w:rsidRDefault="000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53</w:t>
      </w:r>
      <w:r>
        <w:noBreakHyphen/>
        <w:t>2360.</w:t>
      </w:r>
      <w:r>
        <w:tab/>
        <w:t>In performing an essential governmental function in the exercise of the powers conferred upon it, the authority is not required to pay any taxes or assessments upon any property or upon any of its activities or operations or the income from them, or any taxes or assessments upon any property acquired or used by the authority or upon the income from them.  Bonds, notes, other obligations, or indebtedness issued by the authority and the income from them is free from taxation and assessment of every kind by the State and by the local governments and other political subdivisions of the State.</w:t>
      </w:r>
    </w:p>
    <w:p w:rsidR="007273F5" w:rsidRDefault="00727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273F5" w:rsidRDefault="000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53</w:t>
      </w:r>
      <w:r>
        <w:noBreakHyphen/>
        <w:t>2370.(A)</w:t>
      </w:r>
      <w:r>
        <w:tab/>
        <w:t>The Greenville Technical College Commission must designate with specificity the area or areas that comprise the enterprise campus and the purpose of the enterprise campus.  This information must be submitted to the State Board for Technical and Comprehensive Education.  The board shall have final approval over the areas designated as part of the Greenville Technical College Enterprise Campus Authority and the projects to be undertaken therein.</w:t>
      </w:r>
    </w:p>
    <w:p w:rsidR="007273F5" w:rsidRDefault="000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commission may provide for the management, development, and operation of part or all of the enterprise campus property by the authority.</w:t>
      </w:r>
    </w:p>
    <w:p w:rsidR="007273F5" w:rsidRDefault="000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commission is authorized to enter into contracts with the Greenville Technical College Enterprise Campus Authority for the provision of executive and administrative services to the authority.</w:t>
      </w:r>
    </w:p>
    <w:p w:rsidR="007273F5" w:rsidRDefault="000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In the fulfillment of the power contained in this section, the commission is authorized to sell, convey, lease, exchange, transfer, or give all or any part of its real and personal property and other assets constituting the enterprise campus to the Greenville Technical College Enterprise Campus Authority upon such terms and conditions as the commission determines.  The commission may sell, convey, lease, exchange, transfer, or give all or any part of its real and personal property and other assets constituting the enterprise campus, other than the property defined pursuant to subsection (A), only upon approval by the State Board for Technical and Comprehensive Education.  The commission may buy, purchase, or otherwise acquire and accept real and personal property and other assets from the Greenville Technical College Enterprise Campus Authority only in accordance with all regulations and general laws applicable to state</w:t>
      </w:r>
      <w:r>
        <w:noBreakHyphen/>
        <w:t>supported technical institutions in the acquisition and acceptance of real and personal property and other assets.”</w:t>
      </w:r>
    </w:p>
    <w:p w:rsidR="007273F5" w:rsidRDefault="00727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273F5" w:rsidRDefault="000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Nothing in this article may be construed to alter, amend, or otherwise affect any existing technical or community college enterprise campus or enterprise campus authority currently in existence.</w:t>
      </w:r>
    </w:p>
    <w:p w:rsidR="007273F5" w:rsidRDefault="00727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273F5" w:rsidRDefault="000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7273F5" w:rsidRDefault="00727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3F5" w:rsidRDefault="000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7273F5" w:rsidRDefault="00050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273F5" w:rsidRDefault="007273F5" w:rsidP="00910068">
      <w:pPr>
        <w:suppressAutoHyphens/>
      </w:pPr>
    </w:p>
    <w:sectPr w:rsidR="007273F5" w:rsidSect="000504F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273F5" w:rsidRDefault="000504F2">
      <w:r>
        <w:separator/>
      </w:r>
    </w:p>
  </w:endnote>
  <w:endnote w:type="continuationSeparator" w:id="1">
    <w:p w:rsidR="007273F5" w:rsidRDefault="000504F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9D57D08-48DE-4E3A-8FE1-4DAF1CF864E7}"/>
    <w:embedBold r:id="rId2" w:fontKey="{8858CFCD-FB3B-4454-800B-A7FAD3A0989F}"/>
  </w:font>
  <w:font w:name="Calibri">
    <w:panose1 w:val="020F0502020204030204"/>
    <w:charset w:val="00"/>
    <w:family w:val="swiss"/>
    <w:pitch w:val="variable"/>
    <w:sig w:usb0="A00002EF" w:usb1="4000207B" w:usb2="00000000" w:usb3="00000000" w:csb0="0000009F" w:csb1="00000000"/>
    <w:embedRegular r:id="rId3" w:fontKey="{7DB1724C-D964-44AC-8AA2-DD0619925168}"/>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00"/>
    <w:family w:val="modern"/>
    <w:pitch w:val="fixed"/>
    <w:sig w:usb0="20002A87" w:usb1="80000000" w:usb2="00000008" w:usb3="00000000" w:csb0="000001FF" w:csb1="00000000"/>
    <w:embedRegular r:id="rId4" w:fontKey="{7C69736F-7582-4D7D-B92C-CDCBA2F68C20}"/>
  </w:font>
  <w:font w:name="Cambria">
    <w:panose1 w:val="02040503050406030204"/>
    <w:charset w:val="00"/>
    <w:family w:val="roman"/>
    <w:pitch w:val="variable"/>
    <w:sig w:usb0="A00002EF" w:usb1="4000004B" w:usb2="00000000" w:usb3="00000000" w:csb0="0000009F" w:csb1="00000000"/>
    <w:embedRegular r:id="rId5" w:fontKey="{2B9E25D7-4753-48C2-8AD6-C330A1600E2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73F5" w:rsidRDefault="000504F2">
    <w:pPr>
      <w:pStyle w:val="Footer"/>
      <w:tabs>
        <w:tab w:val="clear" w:pos="4680"/>
        <w:tab w:val="clear" w:pos="9360"/>
        <w:tab w:val="center" w:pos="2995"/>
      </w:tabs>
      <w:spacing w:before="120"/>
    </w:pPr>
    <w:r>
      <w:t>[3872-</w:t>
    </w:r>
    <w:fldSimple w:instr=" PAGE  \* MERGEFORMAT ">
      <w:r w:rsidR="00910068">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04F2" w:rsidRDefault="000504F2">
    <w:pPr>
      <w:pStyle w:val="Footer"/>
      <w:tabs>
        <w:tab w:val="clear" w:pos="4680"/>
        <w:tab w:val="clear" w:pos="9360"/>
        <w:tab w:val="center" w:pos="2995"/>
      </w:tabs>
      <w:spacing w:before="120"/>
    </w:pPr>
    <w:r>
      <w:t>[3872]</w:t>
    </w:r>
    <w:r>
      <w:tab/>
    </w:r>
    <w:fldSimple w:instr=" PAGE  \* MERGEFORMAT ">
      <w:r w:rsidR="0091006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273F5" w:rsidRDefault="000504F2">
      <w:r>
        <w:separator/>
      </w:r>
    </w:p>
  </w:footnote>
  <w:footnote w:type="continuationSeparator" w:id="1">
    <w:p w:rsidR="007273F5" w:rsidRDefault="000504F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339BH09"/>
    <w:docVar w:name="CoverBillType" w:val="b"/>
    <w:docVar w:name="docpath" w:val="L:\Council\bills\NBD\11339BH09.DOCX"/>
    <w:docVar w:name="dvBillNumber" w:val="3872"/>
    <w:docVar w:name="dvBillNumberPrefix" w:val="H. "/>
    <w:docVar w:name="dvOriginalBody" w:val="House"/>
    <w:docVar w:name="dvSteno" w:val="NBD"/>
    <w:docVar w:name="NameofBody" w:val="h"/>
    <w:docVar w:name="vgroup2" w:val="Council"/>
  </w:docVars>
  <w:rsids>
    <w:rsidRoot w:val="007273F5"/>
    <w:rsid w:val="000504F2"/>
    <w:rsid w:val="00177029"/>
    <w:rsid w:val="00585DD7"/>
    <w:rsid w:val="007273F5"/>
    <w:rsid w:val="007F3766"/>
    <w:rsid w:val="00910068"/>
    <w:rsid w:val="00CB5DA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73F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7273F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73F5"/>
    <w:rPr>
      <w:rFonts w:eastAsia="Times New Roman" w:cs="Times New Roman"/>
      <w:b/>
      <w:sz w:val="30"/>
      <w:szCs w:val="20"/>
    </w:rPr>
  </w:style>
  <w:style w:type="paragraph" w:styleId="Header">
    <w:name w:val="header"/>
    <w:basedOn w:val="Normal"/>
    <w:link w:val="HeaderChar"/>
    <w:uiPriority w:val="99"/>
    <w:semiHidden/>
    <w:unhideWhenUsed/>
    <w:rsid w:val="007273F5"/>
    <w:pPr>
      <w:tabs>
        <w:tab w:val="center" w:pos="4320"/>
        <w:tab w:val="right" w:pos="8640"/>
      </w:tabs>
    </w:pPr>
  </w:style>
  <w:style w:type="character" w:customStyle="1" w:styleId="HeaderChar">
    <w:name w:val="Header Char"/>
    <w:basedOn w:val="DefaultParagraphFont"/>
    <w:link w:val="Header"/>
    <w:uiPriority w:val="99"/>
    <w:semiHidden/>
    <w:rsid w:val="007273F5"/>
    <w:rPr>
      <w:rFonts w:eastAsia="Times New Roman" w:cs="Times New Roman"/>
      <w:szCs w:val="20"/>
    </w:rPr>
  </w:style>
  <w:style w:type="paragraph" w:styleId="Footer">
    <w:name w:val="footer"/>
    <w:basedOn w:val="Normal"/>
    <w:link w:val="FooterChar"/>
    <w:uiPriority w:val="99"/>
    <w:unhideWhenUsed/>
    <w:rsid w:val="007273F5"/>
    <w:pPr>
      <w:tabs>
        <w:tab w:val="center" w:pos="4680"/>
        <w:tab w:val="right" w:pos="9360"/>
      </w:tabs>
    </w:pPr>
  </w:style>
  <w:style w:type="character" w:customStyle="1" w:styleId="FooterChar">
    <w:name w:val="Footer Char"/>
    <w:basedOn w:val="DefaultParagraphFont"/>
    <w:link w:val="Footer"/>
    <w:uiPriority w:val="99"/>
    <w:rsid w:val="007273F5"/>
    <w:rPr>
      <w:rFonts w:eastAsia="Times New Roman" w:cs="Times New Roman"/>
      <w:szCs w:val="20"/>
    </w:rPr>
  </w:style>
  <w:style w:type="character" w:styleId="PageNumber">
    <w:name w:val="page number"/>
    <w:basedOn w:val="DefaultParagraphFont"/>
    <w:uiPriority w:val="99"/>
    <w:semiHidden/>
    <w:unhideWhenUsed/>
    <w:rsid w:val="007273F5"/>
  </w:style>
  <w:style w:type="character" w:styleId="LineNumber">
    <w:name w:val="line number"/>
    <w:basedOn w:val="DefaultParagraphFont"/>
    <w:uiPriority w:val="99"/>
    <w:semiHidden/>
    <w:unhideWhenUsed/>
    <w:rsid w:val="007273F5"/>
  </w:style>
  <w:style w:type="paragraph" w:customStyle="1" w:styleId="BillDots">
    <w:name w:val="Bill Dots"/>
    <w:basedOn w:val="Normal"/>
    <w:qFormat/>
    <w:rsid w:val="007273F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7273F5"/>
    <w:pPr>
      <w:tabs>
        <w:tab w:val="right" w:pos="5904"/>
      </w:tabs>
    </w:pPr>
  </w:style>
  <w:style w:type="character" w:styleId="FollowedHyperlink">
    <w:name w:val="FollowedHyperlink"/>
    <w:basedOn w:val="DefaultParagraphFont"/>
    <w:uiPriority w:val="99"/>
    <w:semiHidden/>
    <w:unhideWhenUsed/>
    <w:rsid w:val="00CB5DA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2553</Words>
  <Characters>13662</Characters>
  <Application>Microsoft Office Word</Application>
  <DocSecurity>0</DocSecurity>
  <Lines>325</Lines>
  <Paragraphs>82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16133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AMH</cp:lastModifiedBy>
  <cp:revision>2</cp:revision>
  <dcterms:created xsi:type="dcterms:W3CDTF">2009-04-28T22:36:00Z</dcterms:created>
  <dcterms:modified xsi:type="dcterms:W3CDTF">2009-04-28T22:36:00Z</dcterms:modified>
</cp:coreProperties>
</file>