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3D2604">
      <w:pPr>
        <w:pStyle w:val="BillDots"/>
      </w:pPr>
      <w:r>
        <w:t>COMMITTEE AMENDMMENT AMENDED AND ADOPTED</w:t>
      </w:r>
    </w:p>
    <w:p w:rsidR="009F716E" w:rsidRDefault="003D2604">
      <w:pPr>
        <w:pStyle w:val="BillDots"/>
      </w:pPr>
      <w:r>
        <w:t>February 11,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Cleary, Campsen, Shoopman, Campbell and Rose</w:t>
      </w:r>
    </w:p>
    <w:p w:rsidR="009F716E" w:rsidRDefault="009F716E">
      <w:pPr>
        <w:pStyle w:val="BillDots"/>
      </w:pPr>
    </w:p>
    <w:p w:rsidR="009F716E" w:rsidRDefault="003D2604">
      <w:pPr>
        <w:pStyle w:val="BillDots"/>
      </w:pPr>
      <w:r>
        <w:t>S. Printed 2/11/10</w:t>
      </w:r>
      <w:r w:rsidR="009F716E">
        <w:t>--S.</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pPr>
        <w:pStyle w:val="BillDots"/>
      </w:pP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the General Assembly or a member of his immediate family be </w:t>
      </w:r>
      <w:r w:rsidR="00713592" w:rsidRPr="00AF51C2">
        <w:rPr>
          <w:snapToGrid w:val="0"/>
          <w:color w:val="000000" w:themeColor="text1"/>
          <w:szCs w:val="20"/>
        </w:rPr>
        <w:t xml:space="preserve">elected or appointed to be a commissioner for a period of two </w:t>
      </w:r>
      <w:r w:rsidRPr="00AF51C2">
        <w:rPr>
          <w:color w:val="000000" w:themeColor="text1"/>
          <w:sz w:val="22"/>
          <w:szCs w:val="18"/>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(a)</w:t>
      </w:r>
      <w:r w:rsidRPr="00AF51C2">
        <w:rPr>
          <w:color w:val="000000" w:themeColor="text1"/>
          <w:sz w:val="22"/>
          <w:szCs w:val="18"/>
          <w:u w:color="000000" w:themeColor="text1"/>
        </w:rPr>
        <w:tab/>
        <w:t xml:space="preserve">ceases to be a member of the 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lastRenderedPageBreak/>
        <w:tab/>
      </w:r>
      <w:r w:rsidRPr="00AF51C2">
        <w:rPr>
          <w:color w:val="000000" w:themeColor="text1"/>
          <w:sz w:val="22"/>
          <w:szCs w:val="18"/>
          <w:u w:color="000000" w:themeColor="text1"/>
        </w:rPr>
        <w:tab/>
        <w:t>(3)</w:t>
      </w:r>
      <w:r w:rsidRPr="00AF51C2">
        <w:rPr>
          <w:color w:val="000000" w:themeColor="text1"/>
          <w:sz w:val="22"/>
          <w:szCs w:val="18"/>
          <w:u w:color="000000" w:themeColor="text1"/>
        </w:rPr>
        <w:tab/>
        <w:t>The initial members of the panel do not have to meet the qualifications for election contained in this subsection  during their continued tenure as a commissioner.  Nothing in this section prohibits an initial commissioner from seeking reelection.</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10563"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003D2604" w:rsidRPr="00AF51C2">
        <w:rPr>
          <w:color w:val="000000" w:themeColor="text1"/>
        </w:rPr>
        <w:t>“Section 41-27-650.</w:t>
      </w:r>
      <w:r w:rsidR="003D2604" w:rsidRPr="00AF51C2">
        <w:rPr>
          <w:color w:val="000000" w:themeColor="text1"/>
        </w:rPr>
        <w:tab/>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r w:rsidR="003D2604" w:rsidRPr="00AF51C2">
        <w:rPr>
          <w:color w:val="000000" w:themeColor="text1"/>
        </w:rPr>
        <w:tab/>
      </w:r>
      <w:r w:rsidR="003D2604" w:rsidRPr="00AF51C2">
        <w:rPr>
          <w:color w:val="000000" w:themeColor="text1"/>
        </w:rPr>
        <w:tab/>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 xml:space="preserve">General </w:t>
      </w:r>
      <w:r w:rsidRPr="00AF51C2">
        <w:rPr>
          <w:color w:val="000000" w:themeColor="text1"/>
          <w:u w:val="single"/>
        </w:rPr>
        <w:lastRenderedPageBreak/>
        <w:t>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 xml:space="preserve">coverage requirements </w:t>
      </w:r>
      <w:r w:rsidRPr="00AF51C2">
        <w:rPr>
          <w:color w:val="000000" w:themeColor="text1"/>
          <w:u w:val="single"/>
        </w:rPr>
        <w:lastRenderedPageBreak/>
        <w:t>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in accordance 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w:t>
      </w:r>
      <w:r w:rsidRPr="00AF51C2">
        <w:rPr>
          <w:color w:val="000000" w:themeColor="text1"/>
        </w:rPr>
        <w:lastRenderedPageBreak/>
        <w:t xml:space="preserve">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lastRenderedPageBreak/>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w:t>
      </w:r>
      <w:r w:rsidRPr="00AF51C2">
        <w:rPr>
          <w:color w:val="000000" w:themeColor="text1"/>
          <w:szCs w:val="24"/>
        </w:rPr>
        <w:lastRenderedPageBreak/>
        <w:t>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w:t>
      </w:r>
      <w:r w:rsidRPr="00AF51C2">
        <w:rPr>
          <w:color w:val="000000" w:themeColor="text1"/>
          <w:szCs w:val="24"/>
        </w:rPr>
        <w:lastRenderedPageBreak/>
        <w:t xml:space="preserve">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w:t>
      </w:r>
      <w:r w:rsidRPr="00AF51C2">
        <w:rPr>
          <w:color w:val="000000" w:themeColor="text1"/>
          <w:szCs w:val="24"/>
        </w:rPr>
        <w:lastRenderedPageBreak/>
        <w:t>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w:t>
      </w:r>
      <w:r w:rsidRPr="00AF51C2">
        <w:rPr>
          <w:color w:val="000000" w:themeColor="text1"/>
          <w:szCs w:val="24"/>
        </w:rPr>
        <w:lastRenderedPageBreak/>
        <w:t>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w:t>
      </w:r>
      <w:r w:rsidRPr="00AF51C2">
        <w:rPr>
          <w:color w:val="000000" w:themeColor="text1"/>
          <w:szCs w:val="24"/>
        </w:rPr>
        <w:lastRenderedPageBreak/>
        <w:t xml:space="preserve">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w:t>
      </w:r>
      <w:r w:rsidRPr="00AF51C2">
        <w:rPr>
          <w:color w:val="000000" w:themeColor="text1"/>
        </w:rPr>
        <w:lastRenderedPageBreak/>
        <w:t xml:space="preserve">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w:t>
      </w:r>
      <w:r w:rsidRPr="00AF51C2">
        <w:rPr>
          <w:color w:val="000000" w:themeColor="text1"/>
          <w:szCs w:val="24"/>
        </w:rPr>
        <w:lastRenderedPageBreak/>
        <w:t xml:space="preserve">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 xml:space="preserve">has the </w:t>
      </w:r>
      <w:r w:rsidRPr="00AF51C2">
        <w:rPr>
          <w:color w:val="000000" w:themeColor="text1"/>
          <w:szCs w:val="24"/>
          <w:u w:val="single"/>
        </w:rPr>
        <w:lastRenderedPageBreak/>
        <w:t>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w:t>
      </w:r>
      <w:r w:rsidRPr="00AF51C2">
        <w:rPr>
          <w:color w:val="000000" w:themeColor="text1"/>
          <w:szCs w:val="24"/>
        </w:rPr>
        <w:lastRenderedPageBreak/>
        <w:t xml:space="preserve">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w:t>
      </w:r>
      <w:r w:rsidRPr="00AF51C2">
        <w:rPr>
          <w:color w:val="000000" w:themeColor="text1"/>
          <w:szCs w:val="24"/>
        </w:rPr>
        <w:lastRenderedPageBreak/>
        <w:t xml:space="preserve">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w:t>
      </w:r>
      <w:r w:rsidRPr="00AF51C2">
        <w:rPr>
          <w:color w:val="000000" w:themeColor="text1"/>
          <w:szCs w:val="24"/>
        </w:rPr>
        <w:lastRenderedPageBreak/>
        <w:t>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(C)</w:t>
      </w:r>
      <w:r w:rsidRPr="00AF51C2">
        <w:rPr>
          <w:color w:val="000000" w:themeColor="text1"/>
          <w:szCs w:val="24"/>
        </w:rPr>
        <w:tab/>
        <w:t xml:space="preserve">As used in this section, ‘employing unit’ means </w:t>
      </w:r>
      <w:r w:rsidRPr="00AF51C2">
        <w:rPr>
          <w:strike/>
          <w:color w:val="000000" w:themeColor="text1"/>
          <w:szCs w:val="24"/>
        </w:rPr>
        <w:t>those entities</w:t>
      </w:r>
      <w:r w:rsidRPr="00AF51C2">
        <w:rPr>
          <w:color w:val="000000" w:themeColor="text1"/>
          <w:szCs w:val="24"/>
          <w:u w:val="single"/>
        </w:rPr>
        <w:t>an entity</w:t>
      </w:r>
      <w:r w:rsidRPr="00AF51C2">
        <w:rPr>
          <w:color w:val="000000" w:themeColor="text1"/>
          <w:szCs w:val="24"/>
        </w:rPr>
        <w:t xml:space="preserve"> employing more than twenty individuals.”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lastRenderedPageBreak/>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lastRenderedPageBreak/>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w:t>
      </w:r>
      <w:r w:rsidRPr="00AF51C2">
        <w:rPr>
          <w:color w:val="000000" w:themeColor="text1"/>
        </w:rPr>
        <w:lastRenderedPageBreak/>
        <w:t xml:space="preserve">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w:t>
      </w:r>
      <w:r w:rsidRPr="00AF51C2">
        <w:rPr>
          <w:color w:val="000000" w:themeColor="text1"/>
          <w:szCs w:val="24"/>
        </w:rPr>
        <w:lastRenderedPageBreak/>
        <w:t xml:space="preserve">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In the administration of the provisions in Chapter 35, Article 3 of this Title, which are enacted to conform with the 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lastRenderedPageBreak/>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45 of the 1976 Code, as added by Act 76 of 1999,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45.</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report</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by October first of each year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w:t>
      </w:r>
      <w:r w:rsidRPr="00AF51C2">
        <w:rPr>
          <w:rFonts w:eastAsiaTheme="minorHAnsi"/>
          <w:color w:val="000000" w:themeColor="text1"/>
          <w:szCs w:val="22"/>
          <w:u w:color="000000" w:themeColor="text1"/>
        </w:rPr>
        <w:lastRenderedPageBreak/>
        <w:t>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All </w:t>
      </w:r>
      <w:r w:rsidRPr="00AF51C2">
        <w:rPr>
          <w:rFonts w:eastAsiaTheme="minorHAnsi"/>
          <w:color w:val="000000" w:themeColor="text1"/>
          <w:szCs w:val="22"/>
          <w:u w:color="000000" w:themeColor="text1"/>
        </w:rPr>
        <w:lastRenderedPageBreak/>
        <w:t>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 xml:space="preserve">of </w:t>
      </w:r>
      <w:r w:rsidRPr="00AF51C2">
        <w:rPr>
          <w:rFonts w:eastAsiaTheme="minorHAnsi"/>
          <w:color w:val="000000" w:themeColor="text1"/>
          <w:szCs w:val="22"/>
          <w:u w:val="single" w:color="000000" w:themeColor="text1"/>
        </w:rPr>
        <w:lastRenderedPageBreak/>
        <w:t>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w:t>
      </w:r>
      <w:r w:rsidRPr="00AF51C2">
        <w:rPr>
          <w:color w:val="000000" w:themeColor="text1"/>
        </w:rPr>
        <w:lastRenderedPageBreak/>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w:t>
      </w:r>
      <w:r w:rsidRPr="00AF51C2">
        <w:rPr>
          <w:rFonts w:eastAsiaTheme="minorHAnsi"/>
          <w:color w:val="000000" w:themeColor="text1"/>
          <w:szCs w:val="22"/>
          <w:u w:color="000000" w:themeColor="text1"/>
        </w:rPr>
        <w:lastRenderedPageBreak/>
        <w:t xml:space="preserve">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w:t>
      </w:r>
      <w:r w:rsidRPr="00AF51C2">
        <w:rPr>
          <w:rFonts w:eastAsiaTheme="minorHAnsi"/>
          <w:color w:val="000000" w:themeColor="text1"/>
          <w:szCs w:val="22"/>
          <w:u w:color="000000" w:themeColor="text1"/>
        </w:rPr>
        <w:lastRenderedPageBreak/>
        <w:t xml:space="preserve">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time.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w:t>
      </w:r>
      <w:r w:rsidRPr="00AF51C2">
        <w:rPr>
          <w:rFonts w:eastAsiaTheme="minorHAnsi"/>
          <w:color w:val="000000" w:themeColor="text1"/>
          <w:szCs w:val="22"/>
          <w:u w:color="000000" w:themeColor="text1"/>
        </w:rPr>
        <w:lastRenderedPageBreak/>
        <w:t xml:space="preserve">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120 of the 1976 Code, as last amended by Act 50 of 2005,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AnyA</w:t>
      </w:r>
      <w:r w:rsidRPr="00AF51C2">
        <w:rPr>
          <w:rFonts w:eastAsiaTheme="minorHAnsi"/>
          <w:color w:val="000000" w:themeColor="text1"/>
          <w:szCs w:val="22"/>
          <w:u w:val="single" w:color="000000" w:themeColor="text1"/>
        </w:rPr>
        <w:t>n</w:t>
      </w:r>
      <w:r w:rsidRPr="00AF51C2">
        <w:rPr>
          <w:rFonts w:eastAsiaTheme="minorHAnsi"/>
          <w:color w:val="000000" w:themeColor="text1"/>
          <w:szCs w:val="22"/>
          <w:u w:color="000000" w:themeColor="text1"/>
        </w:rPr>
        <w:t xml:space="preserve"> insured worker is ineligible for benefits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leaving work voluntarily.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w:t>
      </w:r>
      <w:r w:rsidRPr="00AF51C2">
        <w:rPr>
          <w:rFonts w:eastAsiaTheme="minorHAnsi"/>
          <w:strike/>
          <w:color w:val="000000" w:themeColor="text1"/>
          <w:szCs w:val="22"/>
          <w:u w:color="000000" w:themeColor="text1"/>
        </w:rPr>
        <w:t>has</w:t>
      </w:r>
      <w:r w:rsidRPr="00AF51C2">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by Chapters 27 through 41 of this title and earned wages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 equal to at least eight times the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Discharge</w:t>
      </w:r>
      <w:r w:rsidRPr="00AF51C2">
        <w:rPr>
          <w:rFonts w:eastAsiaTheme="minorHAnsi"/>
          <w:color w:val="000000" w:themeColor="text1"/>
          <w:szCs w:val="22"/>
          <w:u w:val="single" w:color="000000" w:themeColor="text1"/>
        </w:rPr>
        <w:t>being discharged</w:t>
      </w:r>
      <w:r w:rsidRPr="00AF51C2">
        <w:rPr>
          <w:rFonts w:eastAsiaTheme="minorHAnsi"/>
          <w:color w:val="000000" w:themeColor="text1"/>
          <w:szCs w:val="22"/>
          <w:u w:color="000000" w:themeColor="text1"/>
        </w:rPr>
        <w:t xml:space="preserve"> for cause connected with the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was</w:t>
      </w:r>
      <w:r w:rsidRPr="00AF51C2">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AF51C2">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(iii)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more accurate scientifically accepted </w:t>
      </w:r>
      <w:r w:rsidRPr="00AF51C2">
        <w:rPr>
          <w:rFonts w:eastAsiaTheme="minorHAnsi"/>
          <w:strike/>
          <w:color w:val="000000" w:themeColor="text1"/>
          <w:szCs w:val="22"/>
          <w:u w:color="000000" w:themeColor="text1"/>
        </w:rPr>
        <w:t>methods</w:t>
      </w:r>
      <w:r w:rsidRPr="00AF51C2">
        <w:rPr>
          <w:rFonts w:eastAsiaTheme="minorHAnsi"/>
          <w:color w:val="000000" w:themeColor="text1"/>
          <w:szCs w:val="22"/>
          <w:u w:val="single" w:color="000000" w:themeColor="text1"/>
        </w:rPr>
        <w:t>method</w:t>
      </w:r>
      <w:r w:rsidRPr="00AF51C2">
        <w:rPr>
          <w:rFonts w:eastAsiaTheme="minorHAnsi"/>
          <w:color w:val="000000" w:themeColor="text1"/>
          <w:szCs w:val="22"/>
          <w:u w:color="000000" w:themeColor="text1"/>
        </w:rPr>
        <w:t xml:space="preserve"> approved by the National Institute on Drug Abuse.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for purposes of this item, ‘unlawfully’ means without a prescription.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(i)</w:t>
      </w:r>
      <w:r w:rsidRPr="00AF51C2">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employee makes the admission specifically pursuant to the employer’s policy.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Information, interviews, reports, and drug</w:t>
      </w:r>
      <w:r w:rsidRPr="00AF51C2">
        <w:rPr>
          <w:rFonts w:eastAsiaTheme="minorHAnsi"/>
          <w:color w:val="000000" w:themeColor="text1"/>
          <w:szCs w:val="22"/>
          <w:u w:color="000000" w:themeColor="text1"/>
        </w:rPr>
        <w:noBreakHyphen/>
        <w:t>test results, written or otherwise, received by an employer through a drug</w:t>
      </w:r>
      <w:r w:rsidRPr="00AF51C2">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w:t>
      </w:r>
      <w:r w:rsidRPr="00AF51C2">
        <w:rPr>
          <w:rFonts w:eastAsiaTheme="minorHAnsi"/>
          <w:color w:val="000000" w:themeColor="text1"/>
          <w:szCs w:val="22"/>
          <w:u w:color="000000" w:themeColor="text1"/>
        </w:rPr>
        <w:lastRenderedPageBreak/>
        <w:t xml:space="preserve">the purposes of determining eligibility for unemployment compensation, including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administrative or judicial appeal.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failure to accept work.</w:t>
      </w:r>
      <w:r w:rsidRPr="00AF51C2">
        <w:rPr>
          <w:rFonts w:eastAsiaTheme="minorHAnsi"/>
          <w:strike/>
          <w:color w:val="000000" w:themeColor="text1"/>
          <w:szCs w:val="22"/>
          <w:u w:color="000000" w:themeColor="text1"/>
        </w:rPr>
        <w:noBreakHyphen/>
      </w:r>
      <w:r w:rsidRPr="00AF51C2">
        <w:rPr>
          <w:rFonts w:eastAsiaTheme="minorHAnsi"/>
          <w:strike/>
          <w:color w:val="000000" w:themeColor="text1"/>
          <w:szCs w:val="22"/>
          <w:u w:color="000000" w:themeColor="text1"/>
        </w:rPr>
        <w:noBreakHyphen/>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has failed,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(i)(a)</w:t>
      </w:r>
      <w:r w:rsidRPr="00AF51C2">
        <w:rPr>
          <w:rFonts w:eastAsiaTheme="minorHAnsi"/>
          <w:color w:val="000000" w:themeColor="text1"/>
          <w:szCs w:val="22"/>
          <w:u w:color="000000" w:themeColor="text1"/>
        </w:rPr>
        <w:tab/>
        <w:t>either to apply for available suitable work, when so directed by the employment office or the Commissiondepartment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to accept available suitable work when offered to him by the employment office or an employer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to return to his customary self</w:t>
      </w:r>
      <w:r w:rsidRPr="00AF51C2">
        <w:rPr>
          <w:rFonts w:eastAsiaTheme="minorHAnsi"/>
          <w:color w:val="000000" w:themeColor="text1"/>
          <w:szCs w:val="22"/>
          <w:u w:color="000000" w:themeColor="text1"/>
        </w:rPr>
        <w:noBreakHyphen/>
        <w:t>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if any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when so directed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In determining whether </w:t>
      </w:r>
      <w:r w:rsidRPr="00AF51C2">
        <w:rPr>
          <w:rFonts w:eastAsiaTheme="minorHAnsi"/>
          <w:strike/>
          <w:color w:val="000000" w:themeColor="text1"/>
          <w:szCs w:val="22"/>
          <w:u w:color="000000" w:themeColor="text1"/>
        </w:rPr>
        <w:t>or not any</w:t>
      </w:r>
      <w:r w:rsidRPr="00AF51C2">
        <w:rPr>
          <w:rFonts w:eastAsiaTheme="minorHAnsi"/>
          <w:color w:val="000000" w:themeColor="text1"/>
          <w:szCs w:val="22"/>
          <w:u w:color="000000" w:themeColor="text1"/>
        </w:rPr>
        <w:t xml:space="preserve"> work is suitable for an individual,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is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considered suitable and benefits may not be denied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for refusing to accept new work under any of the following conditions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if the position offered is vacant due directly to a strike, lockout, or other labor dispute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if</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as a condition of being employed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failure to apply for, or refusal to accept, suitable work </w:t>
      </w:r>
      <w:r w:rsidRPr="00AF51C2">
        <w:rPr>
          <w:rFonts w:eastAsiaTheme="minorHAnsi"/>
          <w:color w:val="000000" w:themeColor="text1"/>
          <w:szCs w:val="22"/>
          <w:u w:color="000000" w:themeColor="text1"/>
        </w:rPr>
        <w:lastRenderedPageBreak/>
        <w:t xml:space="preserve">because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this chapter,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sidRPr="00AF51C2">
        <w:rPr>
          <w:rFonts w:eastAsiaTheme="minorHAnsi"/>
          <w:strike/>
          <w:color w:val="000000" w:themeColor="text1"/>
          <w:szCs w:val="22"/>
          <w:u w:color="000000" w:themeColor="text1"/>
        </w:rPr>
        <w:t>so long as</w:t>
      </w:r>
      <w:r w:rsidRPr="00AF51C2">
        <w:rPr>
          <w:rFonts w:eastAsiaTheme="minorHAnsi"/>
          <w:color w:val="000000" w:themeColor="text1"/>
          <w:szCs w:val="22"/>
          <w:u w:val="single" w:color="000000" w:themeColor="text1"/>
        </w:rPr>
        <w:t>if</w:t>
      </w:r>
      <w:r w:rsidRPr="00AF51C2">
        <w:rPr>
          <w:rFonts w:eastAsiaTheme="minorHAnsi"/>
          <w:color w:val="000000" w:themeColor="text1"/>
          <w:szCs w:val="22"/>
          <w:u w:color="000000" w:themeColor="text1"/>
        </w:rPr>
        <w:t xml:space="preserve"> the work left is not suitable employment, or because of the application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training of provisions in this law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applicable federal unemployment compensation law</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for purposes of the Trade Act of 1974</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labor dispute.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not participating in, financing, or directly interested in the labor dispute;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sidRPr="00AF51C2">
        <w:rPr>
          <w:rFonts w:eastAsiaTheme="minorHAnsi"/>
          <w:strike/>
          <w:color w:val="000000" w:themeColor="text1"/>
          <w:szCs w:val="22"/>
          <w:u w:color="000000" w:themeColor="text1"/>
        </w:rPr>
        <w:t>in any case</w:t>
      </w:r>
      <w:r w:rsidRPr="00AF51C2">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is considered to be a separate factory, establishment, or other premises.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color="000000" w:themeColor="text1"/>
        </w:rPr>
        <w:tab/>
        <w:t xml:space="preserve">receiving benefits elsewhere.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 w</w:t>
      </w:r>
      <w:r w:rsidRPr="00AF51C2">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voluntary retirement.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40.  For the purpose of this section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w:t>
      </w:r>
      <w:r w:rsidRPr="00AF51C2">
        <w:rPr>
          <w:rFonts w:eastAsiaTheme="minorHAnsi"/>
          <w:color w:val="000000" w:themeColor="text1"/>
          <w:szCs w:val="22"/>
          <w:u w:color="000000" w:themeColor="text1"/>
        </w:rPr>
        <w:lastRenderedPageBreak/>
        <w:t xml:space="preserve">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the rate of insured 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deemed 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t>
      </w:r>
      <w:r w:rsidRPr="00AF51C2">
        <w:rPr>
          <w:rFonts w:eastAsiaTheme="minorHAnsi"/>
          <w:color w:val="000000" w:themeColor="text1"/>
          <w:szCs w:val="22"/>
          <w:u w:color="000000" w:themeColor="text1"/>
        </w:rPr>
        <w:lastRenderedPageBreak/>
        <w:t xml:space="preserve">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w:t>
      </w:r>
      <w:r w:rsidRPr="00AF51C2">
        <w:rPr>
          <w:rFonts w:eastAsiaTheme="minorHAnsi"/>
          <w:color w:val="000000" w:themeColor="text1"/>
          <w:szCs w:val="22"/>
          <w:u w:color="000000" w:themeColor="text1"/>
        </w:rPr>
        <w:lastRenderedPageBreak/>
        <w:t xml:space="preserve">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lastRenderedPageBreak/>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w:t>
      </w:r>
      <w:r w:rsidRPr="00AF51C2">
        <w:rPr>
          <w:color w:val="000000" w:themeColor="text1"/>
          <w:szCs w:val="24"/>
          <w:u w:color="000000" w:themeColor="text1"/>
        </w:rPr>
        <w:lastRenderedPageBreak/>
        <w:t xml:space="preserve">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 xml:space="preserve">a </w:t>
      </w:r>
      <w:r w:rsidRPr="00AF51C2">
        <w:rPr>
          <w:color w:val="000000" w:themeColor="text1"/>
          <w:szCs w:val="24"/>
          <w:u w:val="single" w:color="000000" w:themeColor="text1"/>
        </w:rPr>
        <w:lastRenderedPageBreak/>
        <w:t>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w:t>
      </w:r>
      <w:r w:rsidRPr="00AF51C2">
        <w:rPr>
          <w:color w:val="000000" w:themeColor="text1"/>
          <w:szCs w:val="24"/>
          <w:u w:color="000000" w:themeColor="text1"/>
        </w:rPr>
        <w:lastRenderedPageBreak/>
        <w:t xml:space="preserve">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lastRenderedPageBreak/>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w:t>
      </w:r>
      <w:r w:rsidRPr="00AF51C2">
        <w:rPr>
          <w:color w:val="000000" w:themeColor="text1"/>
          <w:szCs w:val="24"/>
          <w:u w:color="000000" w:themeColor="text1"/>
        </w:rPr>
        <w:lastRenderedPageBreak/>
        <w:t xml:space="preserve">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F51C2">
        <w:rPr>
          <w:snapToGrid w:val="0"/>
          <w:color w:val="000000" w:themeColor="text1"/>
        </w:rPr>
        <w:t>SECTION 105</w:t>
      </w:r>
      <w:r w:rsidR="009F78E8" w:rsidRPr="00AF51C2">
        <w:rPr>
          <w:snapToGrid w:val="0"/>
          <w:color w:val="000000" w:themeColor="text1"/>
        </w:rPr>
        <w:t xml:space="preserve">. </w:t>
      </w:r>
      <w:r w:rsidR="009F78E8" w:rsidRPr="00AF51C2">
        <w:rPr>
          <w:snapToGrid w:val="0"/>
          <w:color w:val="000000" w:themeColor="text1"/>
        </w:rPr>
        <w:tab/>
        <w:t>Chapter 35, Title 41 of the 1976 Code is amended by adding:</w:t>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snapToGrid w:val="0"/>
          <w:color w:val="000000" w:themeColor="text1"/>
        </w:rPr>
        <w:tab/>
      </w:r>
      <w:r w:rsidRPr="00AF51C2">
        <w:rPr>
          <w:snapToGrid w:val="0"/>
          <w:color w:val="000000" w:themeColor="text1"/>
        </w:rPr>
        <w:tab/>
        <w:t>“</w:t>
      </w:r>
      <w:r w:rsidRPr="00AF51C2">
        <w:rPr>
          <w:color w:val="000000" w:themeColor="text1"/>
          <w:u w:val="single" w:color="000000" w:themeColor="text1"/>
        </w:rPr>
        <w:t>Section 41</w:t>
      </w:r>
      <w:r w:rsidRPr="00AF51C2">
        <w:rPr>
          <w:color w:val="000000" w:themeColor="text1"/>
          <w:u w:val="single" w:color="000000" w:themeColor="text1"/>
        </w:rPr>
        <w:noBreakHyphen/>
        <w:t>35</w:t>
      </w:r>
      <w:r w:rsidRPr="00AF51C2">
        <w:rPr>
          <w:color w:val="000000" w:themeColor="text1"/>
          <w:u w:val="single" w:color="000000" w:themeColor="text1"/>
        </w:rPr>
        <w:noBreakHyphen/>
        <w:t>760.</w:t>
      </w:r>
      <w:r w:rsidRPr="00AF51C2">
        <w:rPr>
          <w:color w:val="000000" w:themeColor="text1"/>
          <w:u w:color="000000" w:themeColor="text1"/>
        </w:rPr>
        <w:t xml:space="preserve"> </w:t>
      </w:r>
      <w:r w:rsidRPr="00AF51C2">
        <w:rPr>
          <w:color w:val="000000" w:themeColor="text1"/>
          <w:u w:color="000000" w:themeColor="text1"/>
        </w:rPr>
        <w:tab/>
      </w:r>
      <w:r w:rsidRPr="00AF51C2">
        <w:rPr>
          <w:color w:val="000000" w:themeColor="text1"/>
          <w:u w:val="single"/>
        </w:rPr>
        <w:t>The department must promulgate all regulations described in this chapter and regulations governing procedures at all hearings and appeals before the department or any member or employee of the department, and publish all regulations on an electronic website.  All regulations must be promulgated in accordance with the provisions of Chapter 23 of Title 1 of the South Carolina Code of Laws.</w:t>
      </w:r>
      <w:r w:rsidRPr="00AF51C2">
        <w:rPr>
          <w:color w:val="000000" w:themeColor="text1"/>
        </w:rPr>
        <w:t>”</w:t>
      </w:r>
      <w:r w:rsidRPr="00AF51C2">
        <w:rPr>
          <w:color w:val="000000" w:themeColor="text1"/>
        </w:rPr>
        <w:tab/>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w:t>
      </w:r>
      <w:r w:rsidRPr="00AF51C2">
        <w:rPr>
          <w:color w:val="000000" w:themeColor="text1"/>
          <w:szCs w:val="24"/>
          <w:u w:color="000000" w:themeColor="text1"/>
        </w:rPr>
        <w:lastRenderedPageBreak/>
        <w:t xml:space="preserve">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w:t>
      </w:r>
      <w:r w:rsidRPr="00AF51C2">
        <w:rPr>
          <w:color w:val="000000" w:themeColor="text1"/>
          <w:szCs w:val="24"/>
          <w:u w:color="000000" w:themeColor="text1"/>
        </w:rPr>
        <w:lastRenderedPageBreak/>
        <w:t xml:space="preserve">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w:t>
      </w:r>
      <w:r w:rsidRPr="00AF51C2">
        <w:rPr>
          <w:color w:val="000000" w:themeColor="text1"/>
        </w:rPr>
        <w:lastRenderedPageBreak/>
        <w:t xml:space="preserve">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w:t>
      </w:r>
      <w:r w:rsidRPr="00AF51C2">
        <w:rPr>
          <w:color w:val="000000" w:themeColor="text1"/>
        </w:rPr>
        <w:lastRenderedPageBreak/>
        <w:t xml:space="preserve">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w:t>
      </w:r>
      <w:r w:rsidRPr="00AF51C2">
        <w:rPr>
          <w:color w:val="000000" w:themeColor="text1"/>
          <w:szCs w:val="24"/>
        </w:rPr>
        <w:lastRenderedPageBreak/>
        <w:t xml:space="preserve">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117</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118</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119</w:t>
      </w:r>
      <w:r w:rsidR="009F78E8" w:rsidRPr="00AF51C2">
        <w:rPr>
          <w:color w:val="000000" w:themeColor="text1"/>
        </w:rPr>
        <w:t>.</w:t>
      </w:r>
      <w:r w:rsidR="00310563" w:rsidRPr="00AF51C2">
        <w:rPr>
          <w:color w:val="000000" w:themeColor="text1"/>
        </w:rPr>
        <w:t xml:space="preserve">  </w:t>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lastRenderedPageBreak/>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5942F5">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0C" w:rsidRDefault="008D770C">
      <w:r>
        <w:separator/>
      </w:r>
    </w:p>
  </w:endnote>
  <w:endnote w:type="continuationSeparator" w:id="0">
    <w:p w:rsidR="008D770C" w:rsidRDefault="008D77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0CD3A-2E11-4816-A56C-D3065ACCD544}"/>
    <w:embedBold r:id="rId2" w:fontKey="{C95ECA4D-D719-4B7B-8815-B5FBD1E610F6}"/>
  </w:font>
  <w:font w:name="Calibri">
    <w:panose1 w:val="020F0502020204030204"/>
    <w:charset w:val="00"/>
    <w:family w:val="swiss"/>
    <w:pitch w:val="variable"/>
    <w:sig w:usb0="A00002EF" w:usb1="4000207B" w:usb2="00000000" w:usb3="00000000" w:csb0="0000009F" w:csb1="00000000"/>
    <w:embedRegular r:id="rId3" w:fontKey="{BD625D9C-F7DF-49B4-BE1C-B45A3ED340A9}"/>
  </w:font>
  <w:font w:name="Tahoma">
    <w:panose1 w:val="020B0604030504040204"/>
    <w:charset w:val="00"/>
    <w:family w:val="swiss"/>
    <w:pitch w:val="variable"/>
    <w:sig w:usb0="61002A87" w:usb1="80000000" w:usb2="00000008" w:usb3="00000000" w:csb0="000101FF" w:csb1="00000000"/>
    <w:embedRegular r:id="rId4" w:fontKey="{5131F3FF-1A15-43CD-94C1-96D2CF10D6BC}"/>
  </w:font>
  <w:font w:name="Cambria">
    <w:panose1 w:val="02040503050406030204"/>
    <w:charset w:val="00"/>
    <w:family w:val="roman"/>
    <w:pitch w:val="variable"/>
    <w:sig w:usb0="A00002EF" w:usb1="4000004B" w:usb2="00000000" w:usb3="00000000" w:csb0="0000009F" w:csb1="00000000"/>
    <w:embedRegular r:id="rId5" w:fontKey="{7AC2E9E0-943B-41F9-B6EC-DF81692837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C" w:rsidRDefault="008D770C">
    <w:pPr>
      <w:pStyle w:val="Footer"/>
      <w:tabs>
        <w:tab w:val="clear" w:pos="4680"/>
        <w:tab w:val="clear" w:pos="9360"/>
        <w:tab w:val="center" w:pos="2995"/>
      </w:tabs>
      <w:spacing w:before="120"/>
    </w:pPr>
    <w:r>
      <w:t>[391-</w:t>
    </w:r>
    <w:fldSimple w:instr=" PAGE  \* MERGEFORMAT ">
      <w:r w:rsidR="005942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C" w:rsidRDefault="008D770C">
    <w:pPr>
      <w:pStyle w:val="Footer"/>
      <w:tabs>
        <w:tab w:val="clear" w:pos="4680"/>
        <w:tab w:val="clear" w:pos="9360"/>
        <w:tab w:val="center" w:pos="2995"/>
      </w:tabs>
      <w:spacing w:before="120"/>
    </w:pPr>
    <w:r>
      <w:t>[391]</w:t>
    </w:r>
    <w:r>
      <w:tab/>
    </w:r>
    <w:fldSimple w:instr=" PAGE  \* MERGEFORMAT ">
      <w:r w:rsidR="005942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0C" w:rsidRDefault="008D770C">
      <w:r>
        <w:separator/>
      </w:r>
    </w:p>
  </w:footnote>
  <w:footnote w:type="continuationSeparator" w:id="0">
    <w:p w:rsidR="008D770C" w:rsidRDefault="008D77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310563"/>
    <w:rsid w:val="003D2604"/>
    <w:rsid w:val="005240F6"/>
    <w:rsid w:val="005942F5"/>
    <w:rsid w:val="00713592"/>
    <w:rsid w:val="008910EF"/>
    <w:rsid w:val="008D770C"/>
    <w:rsid w:val="009B5E2F"/>
    <w:rsid w:val="009F716E"/>
    <w:rsid w:val="009F78E8"/>
    <w:rsid w:val="00AF51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82B5-4B81-45BA-BF55-7472115E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24524</Words>
  <Characters>139788</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2010-02-11T18:51:00Z</cp:lastPrinted>
  <dcterms:created xsi:type="dcterms:W3CDTF">2010-02-11T20:07:00Z</dcterms:created>
  <dcterms:modified xsi:type="dcterms:W3CDTF">2010-02-11T20:07:00Z</dcterms:modified>
</cp:coreProperties>
</file>