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w:t>
      </w:r>
      <w:r>
        <w:rPr>
          <w:color w:val="000000" w:themeColor="text1"/>
          <w:u w:color="000000" w:themeColor="text1"/>
        </w:rPr>
        <w:lastRenderedPageBreak/>
        <w:t xml:space="preserve">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224.</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A motor home</w:t>
      </w:r>
      <w:r>
        <w:rPr>
          <w:rFonts w:eastAsia="Times New Roman"/>
          <w:strike/>
          <w:color w:val="000000" w:themeColor="text1"/>
          <w:szCs w:val="24"/>
          <w:u w:color="000000" w:themeColor="text1"/>
        </w:rPr>
        <w:t>, a boat or watercraft,</w:t>
      </w:r>
      <w:r>
        <w:rPr>
          <w:rFonts w:eastAsia="Times New Roman"/>
          <w:color w:val="000000" w:themeColor="text1"/>
          <w:szCs w:val="24"/>
          <w:u w:color="000000" w:themeColor="text1"/>
        </w:rPr>
        <w:t xml:space="preserv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w:t>
      </w:r>
      <w:r>
        <w:rPr>
          <w:rFonts w:eastAsia="Times New Roman"/>
          <w:strike/>
          <w:color w:val="000000" w:themeColor="text1"/>
          <w:szCs w:val="24"/>
          <w:u w:color="000000" w:themeColor="text1"/>
        </w:rPr>
        <w:t>, a boat or watercraft,</w:t>
      </w:r>
      <w:r>
        <w:rPr>
          <w:rFonts w:eastAsia="Times New Roman"/>
          <w:color w:val="000000" w:themeColor="text1"/>
          <w:szCs w:val="24"/>
          <w:u w:color="000000" w:themeColor="text1"/>
        </w:rPr>
        <w:t xml:space="preserve"> or trailer used for camping and recreational travel that is pulled by a motor vehicle classified for property tax pu</w:t>
      </w:r>
      <w:r>
        <w:rPr>
          <w:rFonts w:eastAsia="Times New Roman"/>
          <w:color w:val="000000" w:themeColor="text1"/>
          <w:u w:color="000000" w:themeColor="text1"/>
        </w:rPr>
        <w:t>rposes as a primary or secondary residence pursuant to this section must be determined in the manner that motor vehicles are valued for property tax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val="single" w:color="000000" w:themeColor="text1"/>
        </w:rPr>
        <w:t>(B)(1)</w:t>
      </w:r>
      <w:r>
        <w:rPr>
          <w:rFonts w:eastAsia="Times New Roman"/>
          <w:color w:val="000000" w:themeColor="text1"/>
          <w:u w:color="000000" w:themeColor="text1"/>
        </w:rPr>
        <w:tab/>
      </w:r>
      <w:r>
        <w:rPr>
          <w:rFonts w:eastAsia="Times New Roman"/>
          <w:color w:val="000000" w:themeColor="text1"/>
          <w:u w:val="single" w:color="000000" w:themeColor="text1"/>
        </w:rPr>
        <w:t xml:space="preserve">A person who owns a boat or watercraft that contains a </w:t>
      </w:r>
      <w:r>
        <w:rPr>
          <w:color w:val="000000" w:themeColor="text1"/>
          <w:u w:val="single" w:color="000000" w:themeColor="text1"/>
        </w:rPr>
        <w:t xml:space="preserve">cooking area with an onboard power source, a toilet with exterior evacuation, and a sleeping quarter, may claim the boat or watercraft as a primary or secondary residence for purposes of ad valorem property taxation in this State.  </w:t>
      </w:r>
      <w:r>
        <w:rPr>
          <w:rFonts w:eastAsia="Times New Roman"/>
          <w:color w:val="000000" w:themeColor="text1"/>
          <w:szCs w:val="24"/>
          <w:u w:val="single" w:color="000000" w:themeColor="text1"/>
        </w:rPr>
        <w:t>The fair market value of a boat or watercraft classified for property tax pu</w:t>
      </w:r>
      <w:r>
        <w:rPr>
          <w:rFonts w:eastAsia="Times New Roman"/>
          <w:color w:val="000000" w:themeColor="text1"/>
          <w:u w:val="single" w:color="000000" w:themeColor="text1"/>
        </w:rPr>
        <w:t>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220(B)(38).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Pr>
          <w:rFonts w:eastAsia="Times New Roman"/>
          <w:color w:val="000000" w:themeColor="text1"/>
          <w:u w:val="single" w:color="000000" w:themeColor="text1"/>
        </w:rPr>
        <w:t>Only an individual may claim a qualifying boat or watercraft as his primary residence for purposes of ad valorem property taxation.  The individual or his agent must certify the qualifying boat or watercraft as his primary residence pursuant to Section 12</w:t>
      </w:r>
      <w:r>
        <w:rPr>
          <w:rFonts w:eastAsia="Times New Roman"/>
          <w:color w:val="000000" w:themeColor="text1"/>
          <w:u w:val="single" w:color="000000" w:themeColor="text1"/>
        </w:rPr>
        <w:noBreakHyphen/>
        <w:t>43</w:t>
      </w:r>
      <w:r>
        <w:rPr>
          <w:rFonts w:eastAsia="Times New Roman"/>
          <w:color w:val="000000" w:themeColor="text1"/>
          <w:u w:val="single" w:color="000000" w:themeColor="text1"/>
        </w:rPr>
        <w:noBreakHyphen/>
        <w:t>220(c)(2)(ii).  Additionally, the individual or his agent must provide any proof the assessor requires pursuant to Section 12</w:t>
      </w:r>
      <w:r>
        <w:rPr>
          <w:rFonts w:eastAsia="Times New Roman"/>
          <w:color w:val="000000" w:themeColor="text1"/>
          <w:u w:val="single" w:color="000000" w:themeColor="text1"/>
        </w:rPr>
        <w:noBreakHyphen/>
        <w:t>43</w:t>
      </w:r>
      <w:r>
        <w:rPr>
          <w:rFonts w:eastAsia="Times New Roman"/>
          <w:color w:val="000000" w:themeColor="text1"/>
          <w:u w:val="single" w:color="000000" w:themeColor="text1"/>
        </w:rPr>
        <w:noBreakHyphen/>
        <w:t>220(c)(2)(iv).  Any other qualifying boat or watercraft owned by an individual that cannot be considered a primary residence, or any other qualifying boat or watercraft owned by any other person shall be considered a secondary residence for purposes of ad valorem property taxation.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val="single" w:color="000000" w:themeColor="text1"/>
        </w:rPr>
        <w:t>(3)</w:t>
      </w:r>
      <w:r>
        <w:rPr>
          <w:rFonts w:eastAsia="Times New Roman"/>
          <w:color w:val="000000" w:themeColor="text1"/>
          <w:u w:color="000000" w:themeColor="text1"/>
        </w:rPr>
        <w:tab/>
      </w:r>
      <w:r>
        <w:rPr>
          <w:rFonts w:eastAsia="Times New Roman"/>
          <w:color w:val="000000" w:themeColor="text1"/>
          <w:u w:val="single" w:color="000000" w:themeColor="text1"/>
        </w:rPr>
        <w:t xml:space="preserve">For purposes of this subsection, a person includes an individual, a </w:t>
      </w:r>
      <w:r>
        <w:rPr>
          <w:color w:val="000000" w:themeColor="text1"/>
          <w:u w:val="single" w:color="000000" w:themeColor="text1"/>
        </w:rPr>
        <w:t>sole proprietorship, a partnerships, and an ‘S’ corporation, including a limited liability company taxed as sole proprietorship, partnership, or ‘S’ corporation.</w:t>
      </w:r>
      <w:r>
        <w:rPr>
          <w:rFonts w:eastAsia="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714(2)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D6DCB9-7246-4150-A116-FB899B5DEF67}"/>
    <w:embedBold r:id="rId2" w:fontKey="{64C8802A-A544-4755-A979-28B944741589}"/>
  </w:font>
  <w:font w:name="Calibri">
    <w:panose1 w:val="020F0502020204030204"/>
    <w:charset w:val="00"/>
    <w:family w:val="swiss"/>
    <w:pitch w:val="variable"/>
    <w:sig w:usb0="A00002EF" w:usb1="4000207B" w:usb2="00000000" w:usb3="00000000" w:csb0="0000009F" w:csb1="00000000"/>
    <w:embedRegular r:id="rId3" w:fontKey="{F354FDD4-0807-4C89-9269-DECFC3128F29}"/>
  </w:font>
  <w:font w:name="Cambria">
    <w:panose1 w:val="02040503050406030204"/>
    <w:charset w:val="00"/>
    <w:family w:val="roman"/>
    <w:pitch w:val="variable"/>
    <w:sig w:usb0="A00002EF" w:usb1="4000004B" w:usb2="00000000" w:usb3="00000000" w:csb0="0000009F" w:csb1="00000000"/>
    <w:embedRegular r:id="rId4" w:fontKey="{9E02702F-BD62-4AE3-A864-5AFBD11977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2009-02-11T19:42:00Z</dcterms:created>
  <dcterms:modified xsi:type="dcterms:W3CDTF">2009-02-11T19:42:00Z</dcterms:modified>
</cp:coreProperties>
</file>