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THE TITLE AND BILL OF SALE FOR A MOBILE HOME MUST</w:t>
      </w:r>
      <w:r>
        <w:rPr>
          <w:rFonts w:eastAsia="Times New Roman"/>
          <w:szCs w:val="24"/>
        </w:rPr>
        <w:t xml:space="preserve"> CONTAIN A STATEMENT ADVISING A PURCHASER OF A MOBILE HOME TO CONSULT WITH THE COUNTY ASSESSOR’S OFFICE TO DETERMINE IF THERE ARE BACK TAXES DUE ON THE MOBILE HOME, AND THE SELLER MUST CERTIFY, UNDER PENALTY OF PERJURY, THAT HE HAS MADE THE PURCHASER AWARE OF ANY TAXES THAT ARE DUE ON THE MOBILE HOME; AND TO AMEND CHAPTER 45, TITLE 12, RELATING TO THE COLLECTION OF TAXES, BY ADDING SECTION 12</w:t>
      </w:r>
      <w:r>
        <w:rPr>
          <w:rFonts w:eastAsia="Times New Roman"/>
          <w:szCs w:val="24"/>
        </w:rPr>
        <w:noBreakHyphen/>
        <w:t>45</w:t>
      </w:r>
      <w:r>
        <w:rPr>
          <w:rFonts w:eastAsia="Times New Roman"/>
          <w:szCs w:val="24"/>
        </w:rPr>
        <w:noBreakHyphen/>
        <w:t>440, TO PROVIDE THAT  THE GOVERNING BODY OF A COUNTY BY RESOLUTION MAY WAIVE BACK TAXES DUE ON A MOBILE HOME, INCLUDING LATE PAYMENT PENALTIES, FOR PROPERTY TAX YEARS BEGINNING AFTER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 xml:space="preserve">Each certificate of title issued by the Department of Motor Vehicles shall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date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 and address of the owner;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names and addresses of any lienholders, in the order of priority as shown on the application, and dates of the </w:t>
      </w:r>
      <w:r>
        <w:rPr>
          <w:rFonts w:eastAsia="Times New Roman"/>
          <w:color w:val="000000" w:themeColor="text1"/>
          <w:szCs w:val="24"/>
          <w:u w:color="000000" w:themeColor="text1"/>
        </w:rPr>
        <w:lastRenderedPageBreak/>
        <w:t xml:space="preserve">liens, or if the application is based on a certificate of title, as shown on the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title number assigned to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description of the vehicle including, so far as the following data exists:  its make, model, vehicle identification number, odometer reading at the time of application, and type of body; </w:t>
      </w:r>
      <w:r>
        <w:rPr>
          <w:rFonts w:eastAsia="Times New Roman"/>
          <w:color w:val="000000" w:themeColor="text1"/>
          <w:szCs w:val="24"/>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any</w:t>
      </w:r>
      <w:r>
        <w:rPr>
          <w:rFonts w:eastAsia="Times New Roman"/>
          <w:color w:val="000000" w:themeColor="text1"/>
          <w:szCs w:val="24"/>
          <w:u w:color="000000" w:themeColor="text1"/>
        </w:rPr>
        <w:t xml:space="preserve"> other data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requirements of subsection (A), any certificate of title and a bill of sale for a mobile home issued after December 31, 2009, shall contain, in large bold type, in a conspicuous place, a statement advising a purchaser of a mobile home to consult with the county assessor’s office of the county in which the mobile home is located, to determine if there are back taxes due on the mobile home.  Also, the title and bill of sale shall contain a place for the seller of a mobile home to certify, under penalty of perjury, that he has made the purchaser aware of any taxes that are due on the mobile home.</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Chapter 45,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“Section 12</w:t>
      </w:r>
      <w:r>
        <w:rPr>
          <w:rFonts w:eastAsia="Times New Roman"/>
          <w:color w:val="000000" w:themeColor="text1"/>
          <w:szCs w:val="24"/>
          <w:u w:color="000000" w:themeColor="text1"/>
        </w:rPr>
        <w:noBreakHyphen/>
        <w:t>45</w:t>
      </w:r>
      <w:r>
        <w:rPr>
          <w:rFonts w:eastAsia="Times New Roman"/>
          <w:color w:val="000000" w:themeColor="text1"/>
          <w:szCs w:val="24"/>
          <w:u w:color="000000" w:themeColor="text1"/>
        </w:rPr>
        <w:noBreakHyphen/>
        <w:t>440.</w:t>
      </w:r>
      <w:r>
        <w:rPr>
          <w:rFonts w:eastAsia="Times New Roman"/>
          <w:color w:val="000000" w:themeColor="text1"/>
          <w:szCs w:val="24"/>
          <w:u w:color="000000" w:themeColor="text1"/>
        </w:rPr>
        <w:tab/>
        <w:t>Notwithstanding any other provision of law, the governing body of a county by resolution adopted by a majority vote, may waive back taxes due on a mobile home, including late payment penalties, for property tax years beginning after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3E54D-F025-42CD-919E-5D5354AFB35B}"/>
    <w:embedBold r:id="rId2" w:fontKey="{B96498BB-73E9-4A34-B212-5582371077F7}"/>
  </w:font>
  <w:font w:name="Calibri">
    <w:panose1 w:val="020F0502020204030204"/>
    <w:charset w:val="00"/>
    <w:family w:val="swiss"/>
    <w:pitch w:val="variable"/>
    <w:sig w:usb0="A00002EF" w:usb1="4000207B" w:usb2="00000000" w:usb3="00000000" w:csb0="0000009F" w:csb1="00000000"/>
    <w:embedRegular r:id="rId3" w:fontKey="{4088CAB6-CFD5-4B25-8F73-862A71547B6E}"/>
  </w:font>
  <w:font w:name="Cambria">
    <w:panose1 w:val="02040503050406030204"/>
    <w:charset w:val="00"/>
    <w:family w:val="roman"/>
    <w:pitch w:val="variable"/>
    <w:sig w:usb0="A00002EF" w:usb1="4000004B" w:usb2="00000000" w:usb3="00000000" w:csb0="0000009F" w:csb1="00000000"/>
    <w:embedRegular r:id="rId4" w:fontKey="{173DEEF2-1A6A-4894-9783-E8758FCAE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1MOBI.DAG.DLT"/>
    <w:docVar w:name="CoverAttorneyInitials" w:val="DAG"/>
    <w:docVar w:name="CoverAttorneyLastName" w:val="Good"/>
    <w:docVar w:name="CoverBillType" w:val="b"/>
    <w:docVar w:name="CoverSenator" w:val="DLT"/>
    <w:docVar w:name="dvBillNumber" w:val="412"/>
    <w:docVar w:name="dvBillNumberPrefix" w:val="S. "/>
    <w:docVar w:name="dvOriginalBody" w:val="Senate"/>
    <w:docVar w:name="fulldraftpath" w:val="L:\S-FINANC\DRAFTING\DLT\001MOBI.DAG.DLT.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2009-02-09T16:10:00Z</cp:lastPrinted>
  <dcterms:created xsi:type="dcterms:W3CDTF">2009-02-11T19:44:00Z</dcterms:created>
  <dcterms:modified xsi:type="dcterms:W3CDTF">2009-02-11T19:44:00Z</dcterms:modified>
</cp:coreProperties>
</file>