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THE INFORMATION REQUIRED IN THE DATABASE; TO ADD SECTION 34</w:t>
      </w:r>
      <w:r>
        <w:rPr>
          <w:rFonts w:eastAsia="Times New Roman" w:cs="Times New Roman"/>
        </w:rPr>
        <w:noBreakHyphen/>
        <w:t>39</w:t>
      </w:r>
      <w:r>
        <w:rPr>
          <w:rFonts w:eastAsia="Times New Roman" w:cs="Times New Roman"/>
        </w:rPr>
        <w:noBreakHyphen/>
        <w:t>270, TO PLACE A LIMIT ON THE AMOUNT OF OUTSTANDING PRINCIPAL A BORROWER MAY HAVE, TO PROVIDE FOR A TWO DAY WAITING PERIOD BETWEEN LOANS, TO REQUIRE DEFERRED PRESENTMENT LENDERS TO VERIFY A CONSUMER’S ELIGIBILITY FOR A LOAN PRIOR TO ENTERING INTO A DEFERRED PRESENTMENT TRANSACTION, AND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BORROWER MAY UTILIZE A PAYMENT PLAN TO SATISFY OUTSTANDING LOANS,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THE REPORTS; TO AMEND SECTION 34</w:t>
      </w:r>
      <w:r>
        <w:rPr>
          <w:rFonts w:eastAsia="Times New Roman" w:cs="Times New Roman"/>
        </w:rPr>
        <w:noBreakHyphen/>
        <w:t>39</w:t>
      </w:r>
      <w:r>
        <w:rPr>
          <w:rFonts w:eastAsia="Times New Roman" w:cs="Times New Roman"/>
        </w:rPr>
        <w:noBreakHyphen/>
        <w:t>130, TO PROVIDE FOR THE APPLICABILITY OF CHAPTER 39; TO AMEND SECTION 34</w:t>
      </w:r>
      <w:r>
        <w:rPr>
          <w:rFonts w:eastAsia="Times New Roman" w:cs="Times New Roman"/>
        </w:rPr>
        <w:noBreakHyphen/>
        <w:t>39</w:t>
      </w:r>
      <w:r>
        <w:rPr>
          <w:rFonts w:eastAsia="Times New Roman" w:cs="Times New Roman"/>
        </w:rPr>
        <w:noBreakHyphen/>
        <w:t>150 TO PROVIDE THAT THE APPLICATION FEE FOR NEW LICENSES AND THE LICENSE RENEWAL FEES ARE EACH INCREASED FROM TWO HUNDRED FIFTY DOLLARS TO FIVE HUNDRED DOLLARS AND TO PROVIDE THAT HALF OF THE FEES MUST BE CREDITED TO THE ATTORNEY GENERAL’S OFFICE TO ESTABLISH A DIVISION TO ENFORCE THE PROVISIONS OF THIS ACT; TO AMEND SECTION 34</w:t>
      </w:r>
      <w:r>
        <w:rPr>
          <w:rFonts w:eastAsia="Times New Roman" w:cs="Times New Roman"/>
        </w:rPr>
        <w:noBreakHyphen/>
        <w:t>39</w:t>
      </w:r>
      <w:r>
        <w:rPr>
          <w:rFonts w:eastAsia="Times New Roman" w:cs="Times New Roman"/>
        </w:rPr>
        <w:noBreakHyphen/>
        <w:t>180, TO PROVIDE FOR A MAXIMUM LOAN AMOUNT THAT MAY NOT EXCEED THE LESSER OF TWENTY PERCENT OF THE BORROWER’S GROSS INCOME DURING THE TERM OF THE LOAN OR FIVE HUNDRED DOLLARS AND TO PROVIDE FOR CONSUMER WARNING STATEMENTS; AND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 who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one or more outstanding deferred presentment transactions that are equal to the maximum loan amount permitted by this chapter;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had a deferred presentment transaction closed out with any licensee in the previous two full business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 and Section 34</w:t>
      </w:r>
      <w:r>
        <w:rPr>
          <w:rFonts w:eastAsia="MS Mincho" w:cs="Times New Roman"/>
          <w:szCs w:val="20"/>
        </w:rPr>
        <w:noBreakHyphen/>
        <w:t>39</w:t>
      </w:r>
      <w:r>
        <w:rPr>
          <w:rFonts w:eastAsia="MS Mincho" w:cs="Times New Roman"/>
          <w:szCs w:val="20"/>
        </w:rPr>
        <w:noBreakHyphen/>
        <w:t>175.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A licensee must enter into a written plan agreement with the customer if the customer, on or before the deferred presentment transaction’s due date, requests a plan and signs an amendment to the written agreement that memorializes the plan’s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plan’s terms must allow the customer, at no additional cost, to repay the deferred presentment transaction in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and an investigation fee of five hundred dollars.  These fees are not refundable or abatable.  If the license is granted, however, payment of the application fee satisfies the fee requirement for the first license year or its remainder.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 expires annually and may be renewed upon payment of a license fee of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The Board of Financial Institutions shall disburse one</w:t>
      </w:r>
      <w:r>
        <w:rPr>
          <w:rFonts w:eastAsia="MS Mincho" w:cs="Times New Roman"/>
          <w:szCs w:val="20"/>
          <w:u w:val="single"/>
        </w:rPr>
        <w:noBreakHyphen/>
        <w:t>half of the license fees collected to the South Carolina Attorney General’s Office to establish and maintain a division to enforce the provisions of this chapter.</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r>
      <w:r>
        <w:rPr>
          <w:rFonts w:eastAsia="MS Mincho" w:cs="Times New Roman"/>
          <w:strike/>
          <w:szCs w:val="20"/>
        </w:rPr>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w:t>
      </w:r>
      <w:r>
        <w:rPr>
          <w:rFonts w:eastAsia="MS Mincho" w:cs="Times New Roman"/>
          <w:strike/>
          <w:szCs w:val="20"/>
          <w:u w:val="single"/>
        </w:rPr>
        <w:t>.</w:t>
      </w:r>
      <w:r>
        <w:rPr>
          <w:rFonts w:eastAsia="MS Mincho" w:cs="Times New Roman"/>
          <w:strike/>
          <w:szCs w:val="20"/>
        </w:rPr>
        <w:t xml:space="preserve"> for up to thirty</w:t>
      </w:r>
      <w:r>
        <w:rPr>
          <w:rFonts w:eastAsia="MS Mincho" w:cs="Times New Roman"/>
          <w:strike/>
          <w:szCs w:val="20"/>
        </w:rPr>
        <w:noBreakHyphen/>
        <w:t xml:space="preserve">one days pursuant to the provisions of this section. </w:t>
      </w:r>
      <w:r>
        <w:rPr>
          <w:rFonts w:eastAsia="MS Mincho" w:cs="Times New Roman"/>
          <w:strike/>
          <w:szCs w:val="20"/>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trike/>
          <w:szCs w:val="20"/>
        </w:rPr>
        <w:t>(B)</w:t>
      </w:r>
      <w:r>
        <w:rPr>
          <w:rFonts w:eastAsia="MS Mincho" w:cs="Times New Roman"/>
          <w:szCs w:val="20"/>
          <w:u w:val="single"/>
        </w:rPr>
        <w:t>(A)</w:t>
      </w:r>
      <w:r>
        <w:rPr>
          <w:rFonts w:eastAsia="MS Mincho" w:cs="Times New Roman"/>
          <w:szCs w:val="20"/>
        </w:rPr>
        <w:tab/>
      </w:r>
      <w:r>
        <w:rPr>
          <w:rFonts w:eastAsia="MS Mincho" w:cs="Times New Roman"/>
          <w:szCs w:val="20"/>
          <w:u w:val="single"/>
        </w:rPr>
        <w:t>The total amount advanced by all licensees to any customer for deferred presentment or deposit may not exceed the lesser of twenty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180(F).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the South Carolina Attorney General’s Office, and other information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services such as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 xml:space="preserve">wire transfer </w:t>
      </w:r>
      <w:r>
        <w:rPr>
          <w:rFonts w:eastAsia="MS Mincho" w:cs="Times New Roman"/>
          <w:szCs w:val="20"/>
        </w:rPr>
        <w:t xml:space="preserve">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7.</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45C8A3-897D-41E0-8CCD-50E75C751C40}"/>
    <w:embedBold r:id="rId2" w:fontKey="{B5D0BC3E-D555-4C15-920A-4CE5C9AD4D0F}"/>
  </w:font>
  <w:font w:name="Calibri">
    <w:panose1 w:val="020F0502020204030204"/>
    <w:charset w:val="00"/>
    <w:family w:val="swiss"/>
    <w:pitch w:val="variable"/>
    <w:sig w:usb0="A00002EF" w:usb1="4000207B" w:usb2="00000000" w:usb3="00000000" w:csb0="0000009F" w:csb1="00000000"/>
    <w:embedRegular r:id="rId3" w:fontKey="{F2DBB68F-F9B8-44AD-9043-364CBF3A2731}"/>
  </w:font>
  <w:font w:name="Tahoma">
    <w:panose1 w:val="020B0604030504040204"/>
    <w:charset w:val="00"/>
    <w:family w:val="swiss"/>
    <w:pitch w:val="variable"/>
    <w:sig w:usb0="61002A87" w:usb1="80000000" w:usb2="00000008" w:usb3="00000000" w:csb0="000101FF" w:csb1="00000000"/>
    <w:embedRegular r:id="rId4" w:fontKey="{65A826EC-3382-4472-A2CD-48CC018F49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4A7B359-B9D1-4479-BE6C-C6410A49A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w:t>
    </w:r>
    <w:r>
      <w:tab/>
    </w:r>
    <w:fldSimple w:instr=" PAGE  \* MERGEFORMAT ">
      <w:r>
        <w:rPr>
          <w:noProof/>
        </w:rPr>
        <w:t>9</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2989</Words>
  <Characters>17038</Characters>
  <Application>Microsoft Office Word</Application>
  <DocSecurity>0</DocSecurity>
  <Lines>141</Lines>
  <Paragraphs>39</Paragraphs>
  <ScaleCrop>false</ScaleCrop>
  <Company>Project Management</Company>
  <LinksUpToDate>false</LinksUpToDate>
  <CharactersWithSpaces>19988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2008-12-10T19:33:00Z</dcterms:created>
  <dcterms:modified xsi:type="dcterms:W3CDTF">2008-12-10T19:33:00Z</dcterms:modified>
</cp:coreProperties>
</file>