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CREATE THE SOUTH CAROLINA CERTIFIED ATHLETIC TRAINERS FOUNDATION TO ENCOURAGE AND ASSIST THE LOCAL SCHOOL DISTRICTS AND SCHOOLS IN ENSURING THAT A CERTIFIED ATHLETIC TRAINER IS ON STAFF AT EACH HIGH SCHOOL AND MIDDLE SCHOOL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certified athletic trainers are health professionals who specialize in the prevention, assessment, treatment, and rehabilitation of musculoskeletal injuries;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certified athletic trainers are clinically and academically qualified to therapeutically treat patients in any physical setting;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despite the advances in and efforts expended toward making school athletics as safe as possible, the possibility of suffering an injury while engaged in school athletics persists;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General Assembly recognizes the inherent value of having certified athletic trainers in every high school and middle school of this State.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color w:val="000000" w:themeColor="text1"/>
          <w:u w:color="000000" w:themeColor="text1"/>
        </w:rPr>
        <w:tab/>
        <w:t>(A)</w:t>
      </w:r>
      <w:r>
        <w:rPr>
          <w:rFonts w:eastAsia="Times New Roman"/>
          <w:color w:val="000000" w:themeColor="text1"/>
          <w:u w:color="000000" w:themeColor="text1"/>
        </w:rPr>
        <w:tab/>
        <w:t>There is established the South Carolina Certified Athletic Trainers Foundation.  This foundation shall encourage and assist the local school districts and schools in ensuring that a certified athletic trainer is on staff at each high school and middle school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(B)</w:t>
      </w:r>
      <w:r>
        <w:rPr>
          <w:rFonts w:eastAsia="Times New Roman"/>
          <w:color w:val="000000" w:themeColor="text1"/>
          <w:u w:color="000000" w:themeColor="text1"/>
        </w:rPr>
        <w:tab/>
        <w:t>The foundation is composed of eight members.  The members must be appointed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one member appointed by the South Carolina Medical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one member appointed by the South Carolina Hospital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one member appointed by the High School League;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one member appointed by the South Carolina Athletic Trainers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one member of Athletic Trainers’ Advisory Committee as established pursuant to Section 44</w:t>
      </w:r>
      <w:r>
        <w:rPr>
          <w:rFonts w:eastAsia="Times New Roman"/>
          <w:color w:val="000000" w:themeColor="text1"/>
          <w:u w:color="000000" w:themeColor="text1"/>
        </w:rPr>
        <w:noBreakHyphen/>
        <w:t>75</w:t>
      </w:r>
      <w:r>
        <w:rPr>
          <w:rFonts w:eastAsia="Times New Roman"/>
          <w:color w:val="000000" w:themeColor="text1"/>
          <w:u w:color="000000" w:themeColor="text1"/>
        </w:rP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one member appointed by the Chairman of the Senate Education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one member appointed by the Chairman of the House Education and Public Works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the Superintendent of Education, or his designee, to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Any vacancy on the foundation must be filled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Initial appointments to the foundation shall be made within sixty days of the enactment of this joint resolution.  The initial meeting of the foundation shall be convened by the appointee of the Chairman of the Senate Education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foundation shall elect a chairman from among its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Members of the foundation shall serve without mileage, per diem, and subsistence.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foundation is authorized to solicit and accept private and public donations and grants.  Funds received by the foundation are to be held and accounted for by the Department of Education.  The Department of Education is authorized to withhold an amount equal to four percent of the funds received by the foundation for administrative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Funds received by the foundation shall be distributed to middle schools and high schools throughout South Carolina as grants, in a manner which fulfills the charge in subsection (A) of this section.  The foundation shall create guidelines to govern the selection of schools to receive grants and the distribution of grant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352D60-87E1-4855-B8B0-A802400A38F1}"/>
    <w:embedBold r:id="rId2" w:fontKey="{DFEF5E85-D629-4CCA-9EAA-3084F000E1A0}"/>
  </w:font>
  <w:font w:name="Calibri">
    <w:panose1 w:val="020F0502020204030204"/>
    <w:charset w:val="00"/>
    <w:family w:val="swiss"/>
    <w:pitch w:val="variable"/>
    <w:sig w:usb0="A00002EF" w:usb1="4000207B" w:usb2="00000000" w:usb3="00000000" w:csb0="0000009F" w:csb1="00000000"/>
    <w:embedRegular r:id="rId3" w:fontKey="{B44F28D5-88AA-43D3-B64A-E61EF2FE172A}"/>
  </w:font>
  <w:font w:name="Cambria">
    <w:panose1 w:val="02040503050406030204"/>
    <w:charset w:val="00"/>
    <w:family w:val="roman"/>
    <w:pitch w:val="variable"/>
    <w:sig w:usb0="A00002EF" w:usb1="4000004B" w:usb2="00000000" w:usb3="00000000" w:csb0="0000009F" w:csb1="00000000"/>
    <w:embedRegular r:id="rId4" w:fontKey="{AB989A1E-7918-4E55-A7DD-E986513BA6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9TRAI.TCM.JL"/>
    <w:docVar w:name="CoverAttorneyInitials" w:val="TCM"/>
    <w:docVar w:name="CoverAttorneyLastName" w:val="Miles"/>
    <w:docVar w:name="CoverBillType" w:val="j"/>
    <w:docVar w:name="CoverSenator" w:val="JL"/>
    <w:docVar w:name="dvBillNumber" w:val="481"/>
    <w:docVar w:name="dvBillNumberPrefix" w:val="S. "/>
    <w:docVar w:name="dvOriginalBody" w:val="Senate"/>
    <w:docVar w:name="fulldraftpath" w:val="L:\S-RESMIN\DRAFTING\JL\009TRAI.TCM.J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800</Words>
  <Characters>2492</Characters>
  <Application>Microsoft Office Word</Application>
  <DocSecurity>0</DocSecurity>
  <Lines>35</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2009-02-23T21:16:00Z</cp:lastPrinted>
  <dcterms:created xsi:type="dcterms:W3CDTF">2009-02-25T18:53:00Z</dcterms:created>
  <dcterms:modified xsi:type="dcterms:W3CDTF">2009-02-25T18:53:00Z</dcterms:modified>
</cp:coreProperties>
</file>