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2</w:t>
      </w:r>
      <w:r>
        <w:rPr>
          <w:rFonts w:eastAsia="Times New Roman" w:cs="Times New Roman"/>
          <w:szCs w:val="20"/>
        </w:rPr>
        <w:noBreakHyphen/>
        <w:t>19</w:t>
      </w:r>
      <w:r>
        <w:rPr>
          <w:rFonts w:eastAsia="Times New Roman" w:cs="Times New Roman"/>
          <w:szCs w:val="20"/>
        </w:rPr>
        <w:noBreakHyphen/>
        <w:t>75 SO AS TO PROHIBIT MEMBERS OF THE GENERAL ASSEMBLY FROM CAMPAIGNING FOR JUDICIAL CANDIDATES WITHIN TWO YEARS OF THE ELECTION, TO PROVIDE THAT THE STATE ETHICS COMMISSION SHALL INVESTIGATE COMPLAINTS, TO PROVIDE A PENALTY, AND TO PROVIDE AN EXCEPTION UNDER CERTAIN CIRCUMSTANCES FOR LEGISLATIVE MEMBERS OF THE JUDICIAL MERIT SELECTION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19,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75.</w:t>
      </w:r>
      <w:r>
        <w:rPr>
          <w:rFonts w:eastAsia="Times New Roman" w:cs="Times New Roman"/>
          <w:szCs w:val="20"/>
        </w:rPr>
        <w:tab/>
        <w:t>(A)</w:t>
      </w:r>
      <w:r>
        <w:rPr>
          <w:rFonts w:eastAsia="Times New Roman" w:cs="Times New Roman"/>
          <w:szCs w:val="20"/>
        </w:rPr>
        <w:tab/>
        <w:t>In addition to the prohibitions contained in Section 2</w:t>
      </w:r>
      <w:r>
        <w:rPr>
          <w:rFonts w:eastAsia="Times New Roman" w:cs="Times New Roman"/>
          <w:szCs w:val="20"/>
        </w:rPr>
        <w:noBreakHyphen/>
        <w:t>19</w:t>
      </w:r>
      <w:r>
        <w:rPr>
          <w:rFonts w:eastAsia="Times New Roman" w:cs="Times New Roman"/>
          <w:szCs w:val="20"/>
        </w:rPr>
        <w:noBreakHyphen/>
        <w:t>70, a member of the General Assembly may not actively campaign for a judicial candidate within two years of the judicial election.  For the purposes of this section, ‘actively campaign’ includes, but is not limited to, knowingly promoting a judicial candidate or potential judicial candidate or knowingly introducing a judicial candidate or potential judicial candidate to other members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member of the General Assembly who violates the provisions of this section must be disqualified from voting in the judicial election for the respective judicial position, and the judicial candidate also must be disqualified from the election for the respective position if he knowingly participated in a violation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Violations of this section by a member of the General Assembly or a judicial candidate must be reported by the commission to the State Ethics Commission.  A violation of the provisions of this section is a misdemeanor and, upon conviction, the violator must be fined not more than one thousand dollars or imprisoned not more than ninety days.  Cases tried pursuant to this section may not be transferred from general sessions court pursuant to Section 22</w:t>
      </w:r>
      <w:r>
        <w:rPr>
          <w:rFonts w:eastAsia="Times New Roman" w:cs="Times New Roman"/>
          <w:szCs w:val="20"/>
        </w:rPr>
        <w:noBreakHyphen/>
        <w:t>3</w:t>
      </w:r>
      <w:r>
        <w:rPr>
          <w:rFonts w:eastAsia="Times New Roman" w:cs="Times New Roman"/>
          <w:szCs w:val="20"/>
        </w:rPr>
        <w:noBreakHyphen/>
        <w:t>545.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provisions of this section do not apply to legislative members of the commission to the extent that their actions in nominating and announcing judicial candidates are required by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7DBF3B-FF17-40DF-94D9-5CD23D55F831}"/>
    <w:embedBold r:id="rId2" w:fontKey="{71931CA5-6444-4E8C-AAB8-88C80F9ADF1F}"/>
  </w:font>
  <w:font w:name="Calibri">
    <w:panose1 w:val="020F0502020204030204"/>
    <w:charset w:val="00"/>
    <w:family w:val="swiss"/>
    <w:pitch w:val="variable"/>
    <w:sig w:usb0="A00002EF" w:usb1="4000207B" w:usb2="00000000" w:usb3="00000000" w:csb0="0000009F" w:csb1="00000000"/>
    <w:embedRegular r:id="rId3" w:fontKey="{7E8343BD-EA7B-4EED-A366-FE2470E3FCAE}"/>
  </w:font>
  <w:font w:name="Tahoma">
    <w:panose1 w:val="020B0604030504040204"/>
    <w:charset w:val="00"/>
    <w:family w:val="swiss"/>
    <w:pitch w:val="variable"/>
    <w:sig w:usb0="61002A87" w:usb1="80000000" w:usb2="00000008" w:usb3="00000000" w:csb0="000101FF" w:csb1="00000000"/>
    <w:embedRegular r:id="rId4" w:fontKey="{89618D17-C121-4063-A1AC-4139671D657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A9F5EC1-36FD-4636-8CB6-9EE753AC7C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449</Words>
  <Characters>2564</Characters>
  <Application>Microsoft Office Word</Application>
  <DocSecurity>0</DocSecurity>
  <Lines>21</Lines>
  <Paragraphs>6</Paragraphs>
  <ScaleCrop>false</ScaleCrop>
  <Company>Project Management</Company>
  <LinksUpToDate>false</LinksUpToDate>
  <CharactersWithSpaces>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2008-12-10T19:40:00Z</dcterms:created>
  <dcterms:modified xsi:type="dcterms:W3CDTF">2008-12-10T19:40:00Z</dcterms:modified>
</cp:coreProperties>
</file>