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7F5" w:rsidRDefault="00CF47F5">
      <w:pPr>
        <w:pStyle w:val="BillDots"/>
      </w:pPr>
      <w:r>
        <w:rPr>
          <w:strike/>
        </w:rPr>
        <w:t>Indicates Matter Stricken</w:t>
      </w:r>
    </w:p>
    <w:p w:rsidR="00CF47F5" w:rsidRPr="00CF47F5" w:rsidRDefault="00CF47F5">
      <w:pPr>
        <w:pStyle w:val="BillDots"/>
      </w:pPr>
      <w:r>
        <w:rPr>
          <w:u w:val="single"/>
        </w:rPr>
        <w:t>Indicates New Matter</w:t>
      </w:r>
    </w:p>
    <w:p w:rsidR="00CF47F5" w:rsidRDefault="00CF47F5">
      <w:pPr>
        <w:pStyle w:val="BillDots"/>
      </w:pPr>
    </w:p>
    <w:p w:rsidR="00CF47F5" w:rsidRDefault="00CF47F5">
      <w:pPr>
        <w:pStyle w:val="BillDots"/>
      </w:pPr>
      <w:r>
        <w:t xml:space="preserve">COMMITTEE </w:t>
      </w:r>
      <w:r w:rsidR="00C16CE7">
        <w:t>AMENDMENT ADOPTED</w:t>
      </w:r>
    </w:p>
    <w:p w:rsidR="00CF47F5" w:rsidRDefault="00CF47F5">
      <w:pPr>
        <w:pStyle w:val="BillDots"/>
      </w:pPr>
      <w:r>
        <w:t>January 2</w:t>
      </w:r>
      <w:r w:rsidR="00C16CE7">
        <w:t>8</w:t>
      </w:r>
      <w:r>
        <w:t>, 2010</w:t>
      </w:r>
    </w:p>
    <w:p w:rsidR="00CF47F5" w:rsidRDefault="00CF47F5">
      <w:pPr>
        <w:pStyle w:val="BillDots"/>
      </w:pPr>
    </w:p>
    <w:p w:rsidR="00CF47F5" w:rsidRPr="00CF47F5" w:rsidRDefault="00CF47F5" w:rsidP="00CF47F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CF47F5" w:rsidRDefault="00CF47F5">
      <w:pPr>
        <w:pStyle w:val="BillDots"/>
      </w:pPr>
    </w:p>
    <w:p w:rsidR="00CF47F5" w:rsidRDefault="00CF47F5" w:rsidP="00CF47F5">
      <w:pPr>
        <w:pStyle w:val="BillDots"/>
        <w:jc w:val="center"/>
      </w:pPr>
      <w:r>
        <w:t>Introduced by Senators Peeler and Hutto</w:t>
      </w:r>
    </w:p>
    <w:p w:rsidR="00CF47F5" w:rsidRDefault="00CF47F5">
      <w:pPr>
        <w:pStyle w:val="BillDots"/>
      </w:pPr>
    </w:p>
    <w:p w:rsidR="00CF47F5" w:rsidRDefault="00CF47F5">
      <w:pPr>
        <w:pStyle w:val="BillDots"/>
      </w:pPr>
      <w:r>
        <w:t>S. Printed 1/2</w:t>
      </w:r>
      <w:r w:rsidR="00C16CE7">
        <w:t>8</w:t>
      </w:r>
      <w:r>
        <w:t>/10--S.</w:t>
      </w:r>
    </w:p>
    <w:p w:rsidR="00CF47F5" w:rsidRDefault="00CF47F5">
      <w:pPr>
        <w:pStyle w:val="BillDots"/>
      </w:pPr>
      <w:r>
        <w:t>Read the first time March 17, 2009.</w:t>
      </w:r>
    </w:p>
    <w:p w:rsidR="00CF47F5" w:rsidRDefault="00CF47F5" w:rsidP="00C16CE7">
      <w:pPr>
        <w:pStyle w:val="BillDots"/>
        <w:jc w:val="center"/>
      </w:pPr>
      <w:r>
        <w:rPr>
          <w:u w:val="single"/>
        </w:rPr>
        <w:t>            </w:t>
      </w:r>
    </w:p>
    <w:p w:rsidR="00CF47F5" w:rsidRDefault="00CF47F5">
      <w:pPr>
        <w:pStyle w:val="BillDots"/>
        <w:sectPr w:rsidR="00CF47F5" w:rsidSect="00CF4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A55" w:rsidRDefault="004E6A55">
      <w:pPr>
        <w:pStyle w:val="BillDot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C16CE7" w:rsidRDefault="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A55" w:rsidRDefault="00C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A55" w:rsidRDefault="004E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70.</w:t>
      </w:r>
      <w:r>
        <w:tab/>
      </w:r>
      <w:r>
        <w:tab/>
      </w:r>
      <w:r>
        <w:rPr>
          <w:u w:val="single"/>
        </w:rPr>
        <w:t>(A)</w:t>
      </w:r>
      <w:r>
        <w:tab/>
      </w:r>
      <w:r>
        <w:rPr>
          <w:color w:val="000000" w:themeColor="text1"/>
        </w:rPr>
        <w:t xml:space="preserve">A candidate’s nominating petition for any office in this State shall contain the signatures of at least </w:t>
      </w:r>
      <w:r>
        <w:rPr>
          <w:strike/>
          <w:color w:val="000000" w:themeColor="text1"/>
        </w:rPr>
        <w:t>five</w:t>
      </w:r>
      <w:r>
        <w:rPr>
          <w:color w:val="000000" w:themeColor="text1"/>
        </w:rPr>
        <w:t xml:space="preserve"> </w:t>
      </w:r>
      <w:r>
        <w:rPr>
          <w:color w:val="000000" w:themeColor="text1"/>
          <w:u w:val="single"/>
        </w:rPr>
        <w:t>three</w:t>
      </w:r>
      <w:r>
        <w:rPr>
          <w:color w:val="000000" w:themeColor="text1"/>
        </w:rPr>
        <w:t xml:space="preserve"> percent of the qualified registered electors of the geographical area of the office for which he offers as a candidate; provided, that no petition candidate is required to furnish the signatures of more than </w:t>
      </w:r>
      <w:r>
        <w:rPr>
          <w:strike/>
          <w:color w:val="000000" w:themeColor="text1"/>
        </w:rPr>
        <w:t>ten thousand</w:t>
      </w:r>
      <w:r>
        <w:rPr>
          <w:color w:val="000000" w:themeColor="text1"/>
        </w:rPr>
        <w:t xml:space="preserve"> </w:t>
      </w:r>
      <w:r>
        <w:rPr>
          <w:color w:val="000000" w:themeColor="text1"/>
          <w:u w:val="single"/>
        </w:rPr>
        <w:t>four thousand</w:t>
      </w:r>
      <w:r>
        <w:rPr>
          <w:color w:val="000000" w:themeColor="text1"/>
        </w:rPr>
        <w:t xml:space="preserve">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u w:val="single" w:color="000000" w:themeColor="text1"/>
        </w:rPr>
        <w:t>(B)</w:t>
      </w:r>
      <w:r>
        <w:rPr>
          <w:color w:val="000000" w:themeColor="text1"/>
        </w:rPr>
        <w:tab/>
        <w:t>The petition must be certified to the State Election Commission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94354D">
        <w:tab/>
      </w:r>
      <w:r>
        <w:rPr>
          <w:u w:val="single"/>
        </w:rPr>
        <w:t xml:space="preserve"> A qualified elector may participate in only one nominating process for each partisan public office to be filled at the general election.</w:t>
      </w:r>
    </w:p>
    <w:p w:rsidR="00C16CE7" w:rsidRDefault="00C16CE7"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(1)</w:t>
      </w:r>
      <w:r>
        <w:tab/>
      </w:r>
      <w:r>
        <w:rPr>
          <w:u w:val="single"/>
        </w:rPr>
        <w:t>An elector is considered to have participated in the nominating process for each partisan public office listed on the ballot at a primary election if the elector cast a ballot at the primary election.</w:t>
      </w:r>
    </w:p>
    <w:p w:rsidR="00C16CE7" w:rsidRDefault="00C16CE7"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(2)</w:t>
      </w:r>
      <w:r>
        <w:tab/>
      </w:r>
      <w:r>
        <w:rPr>
          <w:u w:val="single"/>
        </w:rPr>
        <w:t>An elector is considered to have participated in the nominating process for each partisan office for which he cast a vote at a convention described in Section 7</w:t>
      </w:r>
      <w:r>
        <w:rPr>
          <w:u w:val="single"/>
        </w:rPr>
        <w:noBreakHyphen/>
        <w:t>11</w:t>
      </w:r>
      <w:r>
        <w:rPr>
          <w:u w:val="single"/>
        </w:rPr>
        <w:noBreakHyphen/>
        <w:t>30.</w:t>
      </w:r>
    </w:p>
    <w:p w:rsidR="00C16CE7" w:rsidRDefault="00C16CE7" w:rsidP="00C16C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djustRightInd w:val="0"/>
        <w:rPr>
          <w:u w:val="single"/>
        </w:rPr>
      </w:pPr>
      <w:r>
        <w:tab/>
      </w:r>
      <w:r>
        <w:tab/>
      </w:r>
      <w:r>
        <w:rPr>
          <w:u w:val="single"/>
        </w:rPr>
        <w:t>(3)</w:t>
      </w:r>
      <w:r>
        <w:tab/>
      </w:r>
      <w:r>
        <w:rPr>
          <w:u w:val="single"/>
        </w:rPr>
        <w:t>An elector otherwise qualified to sign a petition for a candidate to appear on a general election ballot may not sign more than one petition per general election per office.</w:t>
      </w:r>
    </w:p>
    <w:p w:rsidR="00C16CE7" w:rsidRPr="00BA1E8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00BA1E8E">
        <w:t>”</w:t>
      </w:r>
    </w:p>
    <w:p w:rsidR="00BA1E8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16CE7">
        <w:t>“Section 7</w:t>
      </w:r>
      <w:r w:rsidR="00C16CE7">
        <w:noBreakHyphen/>
        <w:t>11</w:t>
      </w:r>
      <w:r w:rsidR="00C16CE7">
        <w:noBreakHyphen/>
        <w:t>75.</w:t>
      </w:r>
      <w:r w:rsidR="00C16CE7">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  The petition, as required by Section 7</w:t>
      </w:r>
      <w:r w:rsidR="00C16CE7">
        <w:noBreakHyphen/>
        <w:t>11</w:t>
      </w:r>
      <w:r w:rsidR="00C16CE7">
        <w:noBreakHyphen/>
        <w:t>70, must be filed no later than July fifteenth before the general election.”</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7</w:t>
      </w:r>
      <w:r>
        <w:noBreakHyphen/>
        <w:t>11</w:t>
      </w:r>
      <w:r>
        <w:noBreakHyphen/>
        <w:t>80 of the 1976 Code, as last amended by Act 510 of 1984, is further amended to read: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80.</w:t>
      </w:r>
      <w:r>
        <w:tab/>
      </w:r>
      <w:r>
        <w:rPr>
          <w:u w:val="single"/>
        </w:rPr>
        <w:t>(A)</w:t>
      </w:r>
      <w:r>
        <w:tab/>
      </w:r>
      <w:r>
        <w:rPr>
          <w:color w:val="000000" w:themeColor="text1"/>
        </w:rPr>
        <w:t xml:space="preserve">All nominating petitions for any political office or petition of any political party seeking certification </w:t>
      </w:r>
      <w:r>
        <w:rPr>
          <w:strike/>
          <w:color w:val="000000" w:themeColor="text1"/>
        </w:rPr>
        <w:t>as such</w:t>
      </w:r>
      <w:r>
        <w:rPr>
          <w:color w:val="000000" w:themeColor="text1"/>
        </w:rPr>
        <w:t xml:space="preserve"> in the State of South Carolina shall be standardized as follows:</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shall be on good quality original bond paper sized eight and one-half by fourteen inches</w:t>
      </w:r>
      <w:r>
        <w:rPr>
          <w:strike/>
          <w:color w:val="000000" w:themeColor="text1"/>
        </w:rPr>
        <w:t>.</w:t>
      </w:r>
      <w:r>
        <w:rPr>
          <w:color w:val="000000" w:themeColor="text1"/>
          <w:u w:val="single" w:color="000000" w:themeColor="text1"/>
        </w:rP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shall contain a concise statement of purpose; in the case of nomination of candidates, the name of the candidate, the office for which he offers</w:t>
      </w:r>
      <w:r>
        <w:rPr>
          <w:color w:val="000000" w:themeColor="text1"/>
          <w:u w:val="single" w:color="000000" w:themeColor="text1"/>
        </w:rPr>
        <w:t>,</w:t>
      </w:r>
      <w:r>
        <w:rPr>
          <w:color w:val="000000" w:themeColor="text1"/>
        </w:rPr>
        <w:t xml:space="preserve"> and the date of the election for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office shall be contained in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petition</w:t>
      </w:r>
      <w:r>
        <w:rPr>
          <w:strike/>
          <w:color w:val="000000" w:themeColor="text1"/>
        </w:rPr>
        <w:t>.</w:t>
      </w:r>
      <w:r>
        <w:rPr>
          <w:color w:val="000000" w:themeColor="text1"/>
          <w:u w:val="single" w:color="000000" w:themeColor="text1"/>
        </w:rPr>
        <w:t>;</w:t>
      </w:r>
      <w:r>
        <w:rPr>
          <w:color w:val="000000" w:themeColor="text1"/>
        </w:rPr>
        <w:t xml:space="preserve">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shall contain in separate columns from left to right the following: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signature of voter and printed name of voter;</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address of residence where registered; and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precinct of voter</w:t>
      </w:r>
      <w:r>
        <w:rPr>
          <w:strike/>
          <w:color w:val="000000" w:themeColor="text1"/>
        </w:rPr>
        <w:t>.</w:t>
      </w:r>
      <w:r>
        <w:rPr>
          <w:color w:val="000000" w:themeColor="text1"/>
          <w:u w:val="single" w:color="000000" w:themeColor="text1"/>
        </w:rP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no single petition page shall contain the signatures of registered voters from different counties</w:t>
      </w:r>
      <w:r>
        <w:rPr>
          <w:strike/>
          <w:color w:val="000000" w:themeColor="text1"/>
        </w:rPr>
        <w:t>.</w:t>
      </w:r>
      <w:r>
        <w:rPr>
          <w:color w:val="000000" w:themeColor="text1"/>
          <w:u w:val="single" w:color="000000" w:themeColor="text1"/>
        </w:rP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(5)</w:t>
      </w:r>
      <w:r>
        <w:rPr>
          <w:color w:val="000000" w:themeColor="text1"/>
        </w:rPr>
        <w:tab/>
        <w:t>all signatures of registered voters shall be numbered consecutively</w:t>
      </w:r>
      <w:r>
        <w:rPr>
          <w:strike/>
          <w:color w:val="000000" w:themeColor="text1"/>
        </w:rPr>
        <w:t>.</w:t>
      </w:r>
      <w:r>
        <w:rPr>
          <w:color w:val="000000" w:themeColor="text1"/>
          <w:u w:val="single" w:color="000000" w:themeColor="text1"/>
        </w:rPr>
        <w:t>; and</w:t>
      </w:r>
    </w:p>
    <w:p w:rsidR="00BA1E8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petitions with more than one page must have the pages consecutively numbered upon filing with the appropriate authority</w:t>
      </w:r>
      <w:r>
        <w:rPr>
          <w:snapToGrid w:val="0"/>
          <w:u w:val="single"/>
        </w:rPr>
        <w:t>, and each subsequent page after the first must contain the statement of purpose that appears on the first page</w:t>
      </w:r>
      <w:r>
        <w:rPr>
          <w:snapToGrid w:val="0"/>
        </w:rPr>
        <w:t>.</w:t>
      </w:r>
      <w:r>
        <w:rPr>
          <w:color w:val="000000" w:themeColor="text1"/>
        </w:rPr>
        <w:t xml:space="preserve"> </w:t>
      </w:r>
      <w:r>
        <w:rPr>
          <w:color w:val="000000" w:themeColor="text1"/>
        </w:rPr>
        <w:tab/>
      </w:r>
    </w:p>
    <w:p w:rsidR="00C16CE7"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themeColor="text1"/>
        </w:rPr>
        <w:t>.</w:t>
      </w:r>
      <w:r w:rsidR="00C16CE7">
        <w:rPr>
          <w:color w:val="000000" w:themeColor="text1"/>
        </w:rPr>
        <w:tab/>
      </w:r>
      <w:r w:rsidR="00C16CE7">
        <w:rPr>
          <w:color w:val="000000" w:themeColor="text1"/>
        </w:rPr>
        <w:tab/>
      </w:r>
      <w:r w:rsidR="00C16CE7">
        <w:rPr>
          <w:color w:val="000000" w:themeColor="text1"/>
          <w:u w:val="single"/>
        </w:rPr>
        <w:t>(7)</w:t>
      </w:r>
      <w:r w:rsidR="00C16CE7">
        <w:rPr>
          <w:color w:val="000000" w:themeColor="text1"/>
        </w:rPr>
        <w:tab/>
      </w:r>
      <w:r w:rsidR="00C16CE7">
        <w:rPr>
          <w:snapToGrid w:val="0"/>
          <w:u w:val="single"/>
        </w:rPr>
        <w:t>Each page of a petition must bear on the bottom or back the affidavit of the circulator of the sheet, which affidavit must be subscribed and sworn by such circulator before a notary public and shall set forth:</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(a)</w:t>
      </w:r>
      <w:r>
        <w:rPr>
          <w:snapToGrid w:val="0"/>
        </w:rPr>
        <w:tab/>
      </w:r>
      <w:r>
        <w:rPr>
          <w:snapToGrid w:val="0"/>
          <w:u w:val="single"/>
        </w:rPr>
        <w:t>his or her residential address;</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(b)</w:t>
      </w:r>
      <w:r>
        <w:rPr>
          <w:snapToGrid w:val="0"/>
        </w:rPr>
        <w:tab/>
      </w:r>
      <w:r>
        <w:rPr>
          <w:snapToGrid w:val="0"/>
          <w:u w:val="single"/>
        </w:rPr>
        <w:t>that each signer manually signed his or her own name with full knowledge of the contents of the nomination petition;</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(c)</w:t>
      </w:r>
      <w:r>
        <w:rPr>
          <w:snapToGrid w:val="0"/>
        </w:rPr>
        <w:tab/>
      </w:r>
      <w:r>
        <w:rPr>
          <w:snapToGrid w:val="0"/>
          <w:u w:val="single"/>
        </w:rPr>
        <w:t>that each signature was signed within one hundred eighty days of the last day on which such petition may be filed; and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55325">
        <w:rPr>
          <w:snapToGrid w:val="0"/>
        </w:rPr>
        <w:tab/>
      </w:r>
      <w:r w:rsidRPr="00455325">
        <w:rPr>
          <w:snapToGrid w:val="0"/>
        </w:rPr>
        <w:tab/>
      </w:r>
      <w:r>
        <w:rPr>
          <w:snapToGrid w:val="0"/>
          <w:u w:val="single"/>
        </w:rPr>
        <w:t>(d)</w:t>
      </w:r>
      <w:r>
        <w:rPr>
          <w:snapToGrid w:val="0"/>
        </w:rPr>
        <w:tab/>
      </w:r>
      <w:r>
        <w:rPr>
          <w:snapToGrid w:val="0"/>
          <w:u w:val="single"/>
        </w:rPr>
        <w:t>That, to the best of the affiant’s knowledge and belief, the signers are registered electors of the state qualified to sign the petition, that their respective residences are correctly stated in the petition, and that they all reside in the county or municipality named in the affidavit.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u w:val="single"/>
        </w:rPr>
        <w:t xml:space="preserve">No notary public may sign the petition as an elector or serve as a circulator of any petition which he or she notarized.  Any and all sheets of a petition that have the circulator’s affidavit notarized by </w:t>
      </w:r>
      <w:r>
        <w:rPr>
          <w:snapToGrid w:val="0"/>
          <w:u w:val="single"/>
        </w:rPr>
        <w:lastRenderedPageBreak/>
        <w:t>a notary public who also served as a circulator of one of more sheets of the petition or who signed one of the sheets of the petition as an elector shall be disqualified and rejected.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55325">
        <w:rPr>
          <w:snapToGrid w:val="0"/>
        </w:rPr>
        <w:tab/>
      </w:r>
      <w:r>
        <w:rPr>
          <w:snapToGrid w:val="0"/>
          <w:u w:val="single"/>
        </w:rPr>
        <w:t>(8)</w:t>
      </w:r>
      <w:r>
        <w:rPr>
          <w:snapToGrid w:val="0"/>
        </w:rPr>
        <w:tab/>
      </w:r>
      <w:r>
        <w:rPr>
          <w:snapToGrid w:val="0"/>
          <w:u w:val="single"/>
        </w:rPr>
        <w:t>No nomination petition shall be circulated prior to one hundred eighty days before the last day on which the petition may be filed, and no signature shall be counted unless it was signed within one hundred eighty days of the last day for filing the same.</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The State Election Commission may furnish petition forms to the county election officials and to interested persons.”</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noBreakHyphen/>
        <w:t>11</w:t>
      </w:r>
      <w:r>
        <w:noBreakHyphen/>
        <w:t>85.</w:t>
      </w:r>
      <w:r>
        <w:tab/>
      </w:r>
      <w:r>
        <w:rPr>
          <w:u w:val="single"/>
        </w:rPr>
        <w:t>(A)</w:t>
      </w:r>
      <w:r>
        <w:tab/>
      </w:r>
      <w:r>
        <w:rPr>
          <w:color w:val="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strike/>
          <w:color w:val="000000" w:themeColor="text1"/>
        </w:rPr>
        <w:t>every one of the first</w:t>
      </w:r>
      <w:r>
        <w:rPr>
          <w:color w:val="000000" w:themeColor="text1"/>
        </w:rPr>
        <w:t xml:space="preserve"> five hundred </w:t>
      </w:r>
      <w:r>
        <w:rPr>
          <w:color w:val="000000" w:themeColor="text1"/>
          <w:u w:val="single" w:color="000000" w:themeColor="text1"/>
        </w:rPr>
        <w:t>consecutive</w:t>
      </w:r>
      <w:r>
        <w:rPr>
          <w:color w:val="000000" w:themeColor="text1"/>
        </w:rPr>
        <w:t xml:space="preserve"> signatures </w:t>
      </w:r>
      <w:r>
        <w:rPr>
          <w:color w:val="000000" w:themeColor="text1"/>
          <w:u w:val="single" w:color="000000" w:themeColor="text1"/>
        </w:rPr>
        <w:t>chosen randomly</w:t>
      </w:r>
      <w:r>
        <w:rPr>
          <w:color w:val="000000" w:themeColor="text1"/>
        </w:rPr>
        <w:t xml:space="preserve"> must be checked for validity</w:t>
      </w:r>
      <w:r w:rsidRPr="0094354D">
        <w:rPr>
          <w:color w:val="000000" w:themeColor="text1"/>
          <w:u w:val="single"/>
        </w:rPr>
        <w:t>,</w:t>
      </w:r>
      <w:r>
        <w:rPr>
          <w:color w:val="000000" w:themeColor="text1"/>
        </w:rPr>
        <w:t xml:space="preserve"> and at least one out of every </w:t>
      </w:r>
      <w:r>
        <w:rPr>
          <w:color w:val="000000" w:themeColor="text1"/>
          <w:u w:val="single" w:color="000000" w:themeColor="text1"/>
        </w:rPr>
        <w:t>other group of</w:t>
      </w:r>
      <w:r>
        <w:rPr>
          <w:color w:val="000000" w:themeColor="text1"/>
        </w:rPr>
        <w:t xml:space="preserve"> ten signatures </w:t>
      </w:r>
      <w:r>
        <w:rPr>
          <w:strike/>
          <w:color w:val="000000" w:themeColor="text1"/>
        </w:rPr>
        <w:t>thereafter beginning with the five hundred and first signature</w:t>
      </w:r>
      <w:r>
        <w:rPr>
          <w:color w:val="000000" w:themeColor="text1"/>
        </w:rPr>
        <w:t xml:space="preserve"> </w:t>
      </w:r>
      <w:r>
        <w:rPr>
          <w:color w:val="000000" w:themeColor="text1"/>
          <w:u w:val="single" w:color="000000" w:themeColor="text1"/>
        </w:rPr>
        <w:t>appearing before and after the five hundred signature block also must be chosen randomly and</w:t>
      </w:r>
      <w:r>
        <w:rPr>
          <w:color w:val="000000" w:themeColor="text1"/>
        </w:rPr>
        <w:t xml:space="preserve"> </w:t>
      </w:r>
      <w:r>
        <w:rPr>
          <w:strike/>
          <w:color w:val="000000" w:themeColor="text1"/>
        </w:rPr>
        <w:t>must be</w:t>
      </w:r>
      <w:r>
        <w:rPr>
          <w:color w:val="000000" w:themeColor="text1"/>
        </w:rPr>
        <w:t xml:space="preserve"> checked for validity.  If the projected number of valid signatures, using this percentage method for the signatures over five hundred plus the number of valid signatures in the </w:t>
      </w:r>
      <w:r>
        <w:rPr>
          <w:strike/>
          <w:color w:val="000000" w:themeColor="text1"/>
        </w:rPr>
        <w:t>first</w:t>
      </w:r>
      <w:r>
        <w:rPr>
          <w:color w:val="000000" w:themeColor="text1"/>
        </w:rPr>
        <w:t xml:space="preserve"> five hundred </w:t>
      </w:r>
      <w:r>
        <w:rPr>
          <w:color w:val="000000" w:themeColor="text1"/>
          <w:u w:val="single" w:color="000000" w:themeColor="text1"/>
        </w:rPr>
        <w:t>signature block</w:t>
      </w:r>
      <w:r>
        <w:rPr>
          <w:color w:val="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strike/>
          <w:color w:val="000000" w:themeColor="text1"/>
        </w:rPr>
        <w:t>first</w:t>
      </w:r>
      <w:r>
        <w:rPr>
          <w:color w:val="000000" w:themeColor="text1"/>
        </w:rPr>
        <w:t xml:space="preserve"> five hundred </w:t>
      </w:r>
      <w:r>
        <w:rPr>
          <w:color w:val="000000" w:themeColor="text1"/>
          <w:u w:val="single" w:color="000000" w:themeColor="text1"/>
        </w:rPr>
        <w:t>signature block</w:t>
      </w:r>
      <w:r>
        <w:rPr>
          <w:color w:val="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strike/>
          <w:color w:val="000000" w:themeColor="text1"/>
        </w:rPr>
        <w:t>such</w:t>
      </w:r>
      <w:r>
        <w:rPr>
          <w:color w:val="000000" w:themeColor="text1"/>
        </w:rPr>
        <w:t xml:space="preserve"> </w:t>
      </w:r>
      <w:r>
        <w:rPr>
          <w:color w:val="000000" w:themeColor="text1"/>
          <w:u w:val="single" w:color="000000" w:themeColor="text1"/>
        </w:rPr>
        <w:t>the</w:t>
      </w:r>
      <w:r>
        <w:rPr>
          <w:color w:val="000000" w:themeColor="text1"/>
        </w:rPr>
        <w:t xml:space="preserve"> number over five hundred until the required number of valid signatures is found.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u w:val="single" w:color="000000" w:themeColor="text1"/>
        </w:rPr>
        <w:t>(C)</w:t>
      </w:r>
      <w:r>
        <w:rPr>
          <w:color w:val="000000" w:themeColor="text1"/>
        </w:rPr>
        <w:tab/>
        <w:t>No signatures on a petition may be rejected if the address of a voter, registration certificate number of a voter, or the precinct of a voter, as required by Section 7</w:t>
      </w:r>
      <w:r>
        <w:rPr>
          <w:color w:val="000000" w:themeColor="text1"/>
        </w:rPr>
        <w:noBreakHyphen/>
        <w:t>11</w:t>
      </w:r>
      <w:r>
        <w:rPr>
          <w:color w:val="000000" w:themeColor="text1"/>
        </w:rPr>
        <w:noBreakHyphen/>
        <w:t>80, is missing or incorrect if the signature is otherwise valid</w:t>
      </w:r>
      <w:r>
        <w:rPr>
          <w:color w:val="000000" w:themeColor="text1"/>
          <w:u w:val="single" w:color="000000" w:themeColor="text1"/>
        </w:rPr>
        <w:t>, and if the board can otherwise verify that the voter is currently a qualified elector in that jurisdiction who registered to vote at least thirty days before submission of the petition</w:t>
      </w:r>
      <w:r>
        <w:rPr>
          <w:color w:val="000000" w:themeColor="text1"/>
        </w:rPr>
        <w:t xml:space="preserve">.  The signature of a voter may </w:t>
      </w:r>
      <w:r>
        <w:rPr>
          <w:strike/>
          <w:color w:val="000000" w:themeColor="text1"/>
        </w:rPr>
        <w:t>only</w:t>
      </w:r>
      <w:r>
        <w:rPr>
          <w:color w:val="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color w:val="000000" w:themeColor="text1"/>
        </w:rPr>
        <w:noBreakHyphen/>
        <w:t>3</w:t>
      </w:r>
      <w:r>
        <w:rPr>
          <w:color w:val="000000" w:themeColor="text1"/>
        </w:rPr>
        <w:noBreakHyphen/>
        <w:t xml:space="preserve">20.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(D)</w:t>
      </w:r>
      <w:r>
        <w:rPr>
          <w:color w:val="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(E)</w:t>
      </w:r>
      <w:r>
        <w:rPr>
          <w:color w:val="000000" w:themeColor="text1"/>
        </w:rPr>
        <w:tab/>
      </w:r>
      <w:r>
        <w:rPr>
          <w:color w:val="000000" w:themeColor="text1"/>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snapToGrid w:val="0"/>
        </w:rPr>
        <w:t>Section</w:t>
      </w:r>
      <w:r>
        <w:t xml:space="preserve"> 7</w:t>
      </w:r>
      <w:r>
        <w:noBreakHyphen/>
        <w:t>11</w:t>
      </w:r>
      <w:r>
        <w:noBreakHyphen/>
        <w:t>95.</w:t>
      </w:r>
      <w:r>
        <w:tab/>
        <w:t>(A)</w:t>
      </w:r>
      <w:r>
        <w:tab/>
        <w:t>The entity to which a petition must be filed may reject an elector’s signature if, after a hearing with notice to all parties, the entity finds that fraud of any kind or degree was committed in the execution of the petition.  The entity must give all parties supporting and objecting to the petition an opportunity to be heard at the hearing.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t>The validation of the signature on a petition and the determination of whether or not fraud was committed in the execution of the petition both shall be deemed open meetings of a public body pursuant to Section 30</w:t>
      </w:r>
      <w:r>
        <w:rPr>
          <w:snapToGrid w:val="0"/>
        </w:rPr>
        <w:noBreakHyphen/>
        <w:t>4</w:t>
      </w:r>
      <w:r>
        <w:rPr>
          <w:snapToGrid w:val="0"/>
        </w:rPr>
        <w:noBreakHyphen/>
        <w:t>60 and must be conducted in public after notice requested by Section 30</w:t>
      </w:r>
      <w:r>
        <w:rPr>
          <w:snapToGrid w:val="0"/>
        </w:rPr>
        <w:noBreakHyphen/>
        <w:t>4</w:t>
      </w:r>
      <w:r>
        <w:rPr>
          <w:snapToGrid w:val="0"/>
        </w:rPr>
        <w:noBreakHyphen/>
        <w:t>80 of the Freedom of Information Act.</w:t>
      </w:r>
      <w:r>
        <w:t>”</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ab/>
        <w:t>“</w:t>
      </w:r>
      <w:r>
        <w:rPr>
          <w:snapToGrid w:val="0"/>
        </w:rPr>
        <w:t>Section 7</w:t>
      </w:r>
      <w:r>
        <w:rPr>
          <w:snapToGrid w:val="0"/>
        </w:rPr>
        <w:noBreakHyphen/>
        <w:t>11</w:t>
      </w:r>
      <w:r>
        <w:rPr>
          <w:snapToGrid w:val="0"/>
        </w:rPr>
        <w:noBreakHyphen/>
        <w:t>100.  Decisions of the local entity to which a petition must be filed may be appealed according to the provisions of this section.  All petitions must be reviewed by August fifteenth prior to a general election.  After a petition is certified, a protest against a petition must be made no later than noon on the fifth day following certification.  The State Election Commission must hear the initial protest within seven days after the protest is filed.  An appeal may be made to the South Carolina Supreme Court within five days following the Election Commission decision.”</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SECTION </w:t>
      </w:r>
      <w:r>
        <w:rPr>
          <w:color w:val="000000" w:themeColor="text1"/>
        </w:rPr>
        <w:t>7.</w:t>
      </w:r>
      <w:r>
        <w:rPr>
          <w:color w:val="000000" w:themeColor="text1"/>
        </w:rPr>
        <w:tab/>
      </w:r>
      <w:r w:rsidRPr="008B1F6E">
        <w:rPr>
          <w:color w:val="000000" w:themeColor="text1"/>
        </w:rPr>
        <w:t xml:space="preserve">To amend Section 7-11-15 of the 1976 Code of Laws to read: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 xml:space="preserve">Section 7-11-15.  </w:t>
      </w:r>
      <w:r w:rsidR="00C16CE7">
        <w:rPr>
          <w:color w:val="000000" w:themeColor="text1"/>
        </w:rPr>
        <w:t>“</w:t>
      </w:r>
      <w:r w:rsidR="00C16CE7" w:rsidRPr="008B1F6E">
        <w:rPr>
          <w:color w:val="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w:t>
      </w:r>
      <w:r w:rsidR="00C16CE7">
        <w:rPr>
          <w:color w:val="000000" w:themeColor="text1"/>
        </w:rPr>
        <w:t xml:space="preserve"> as provided in this section.  </w:t>
      </w:r>
      <w:r w:rsidR="00C16CE7">
        <w:rPr>
          <w:color w:val="000000" w:themeColor="text1"/>
          <w:u w:val="single"/>
        </w:rPr>
        <w:t xml:space="preserve">However, if </w:t>
      </w:r>
      <w:r w:rsidR="00C16CE7" w:rsidRPr="008B1F6E">
        <w:rPr>
          <w:color w:val="000000" w:themeColor="text1"/>
          <w:u w:val="single"/>
        </w:rPr>
        <w:t>March thirtieth falls on Saturday, Sunday, or a legal holiday, the statement must be filed by noon the following business day.</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(1)</w:t>
      </w:r>
      <w:r w:rsidRPr="008B1F6E">
        <w:rPr>
          <w:color w:val="000000" w:themeColor="text1"/>
        </w:rPr>
        <w:tab/>
        <w:t xml:space="preserve">Candidates seeking nomination for a statewide, congressional, or district office that includes more than one county must file their statements of intention of candidacy with the state executive committee of their respective party.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(2)</w:t>
      </w:r>
      <w:r w:rsidRPr="008B1F6E">
        <w:rPr>
          <w:color w:val="000000" w:themeColor="text1"/>
        </w:rP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8B1F6E">
        <w:rPr>
          <w:color w:val="000000" w:themeColor="text1"/>
          <w:u w:val="single"/>
        </w:rPr>
        <w:t>, unless March thirtieth falls on Saturday, Sunday or a legal holiday, in which case the statement must be filed by noon the following business day</w:t>
      </w:r>
      <w:r w:rsidRPr="008B1F6E">
        <w:rPr>
          <w:color w:val="000000" w:themeColor="text1"/>
        </w:rPr>
        <w:t>.  The state executive committees must certify candidates pursuant to Section 7</w:t>
      </w:r>
      <w:r w:rsidRPr="008B1F6E">
        <w:rPr>
          <w:color w:val="000000" w:themeColor="text1"/>
        </w:rPr>
        <w:noBreakHyphen/>
        <w:t>13</w:t>
      </w:r>
      <w:r w:rsidRPr="008B1F6E">
        <w:rPr>
          <w:color w:val="000000" w:themeColor="text1"/>
        </w:rPr>
        <w:noBreakHyphen/>
        <w:t xml:space="preserve">40.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8B1F6E">
        <w:rPr>
          <w:color w:val="000000" w:themeColor="text1"/>
        </w:rPr>
        <w:t>(3)</w:t>
      </w:r>
      <w:r w:rsidRPr="008B1F6E">
        <w:rPr>
          <w:color w:val="000000" w:themeColor="text1"/>
        </w:rPr>
        <w:tab/>
        <w:t xml:space="preserve">Candidates seeking nomination for a countywide or less than countywide office shall file their statements of intention of candidacy with the county executive committee of their respective party. </w:t>
      </w: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 xml:space="preserve">Except as provided herein, the county executive committee of any political party with whom statements of intention of candidacy are filed must file, in turn, all statements of intention of candidacy </w:t>
      </w:r>
      <w:r w:rsidR="00C16CE7" w:rsidRPr="008B1F6E">
        <w:rPr>
          <w:color w:val="000000" w:themeColor="text1"/>
        </w:rPr>
        <w:lastRenderedPageBreak/>
        <w:t>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00C16CE7" w:rsidRPr="008B1F6E">
        <w:rPr>
          <w:color w:val="000000" w:themeColor="text1"/>
        </w:rPr>
        <w:noBreakHyphen/>
        <w:t>13</w:t>
      </w:r>
      <w:r w:rsidR="00C16CE7" w:rsidRPr="008B1F6E">
        <w:rPr>
          <w:color w:val="000000" w:themeColor="text1"/>
        </w:rPr>
        <w:noBreakHyphen/>
        <w:t>40 and 7</w:t>
      </w:r>
      <w:r w:rsidR="00C16CE7" w:rsidRPr="008B1F6E">
        <w:rPr>
          <w:color w:val="000000" w:themeColor="text1"/>
        </w:rPr>
        <w:noBreakHyphen/>
        <w:t>13</w:t>
      </w:r>
      <w:r w:rsidR="00C16CE7" w:rsidRPr="008B1F6E">
        <w:rPr>
          <w:color w:val="000000" w:themeColor="text1"/>
        </w:rPr>
        <w:noBreakHyphen/>
        <w:t xml:space="preserve">350, as applicable.  The candidate’s name must appear if the candidate produces the signed and dated copy of his timely filed statement of intention of candidacy. </w:t>
      </w: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The statement of intention of candidacy required in this section and in Section 7</w:t>
      </w:r>
      <w:r w:rsidR="00C16CE7" w:rsidRPr="008B1F6E">
        <w:rPr>
          <w:color w:val="000000" w:themeColor="text1"/>
        </w:rPr>
        <w:noBreakHyphen/>
        <w:t>13</w:t>
      </w:r>
      <w:r w:rsidR="00C16CE7" w:rsidRPr="008B1F6E">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C16CE7" w:rsidRPr="008B1F6E">
        <w:rPr>
          <w:color w:val="000000" w:themeColor="text1"/>
        </w:rPr>
        <w:t xml:space="preserve">The provisions of this section do not apply to nonpartisan school trustee elections in any school district where local law provisions </w:t>
      </w:r>
      <w:r w:rsidR="00C16CE7" w:rsidRPr="008B1F6E">
        <w:rPr>
          <w:color w:val="000000" w:themeColor="text1"/>
        </w:rPr>
        <w:lastRenderedPageBreak/>
        <w:t>provide for other dates and procedures for filing statements of candidacy or petitions, and to the extent the provisions of this section and the local law provisions conflict, the local law provisions control.</w:t>
      </w:r>
      <w:r w:rsidR="00C16CE7">
        <w:rPr>
          <w:color w:val="000000" w:themeColor="text1"/>
        </w:rPr>
        <w:t>”</w:t>
      </w:r>
      <w:r w:rsidR="00C16CE7" w:rsidRPr="008B1F6E">
        <w:rPr>
          <w:color w:val="000000" w:themeColor="text1"/>
        </w:rPr>
        <w:t xml:space="preserve">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1F6E">
        <w:rPr>
          <w:color w:val="000000" w:themeColor="text1"/>
        </w:rPr>
        <w:t xml:space="preserve">SECTION </w:t>
      </w:r>
      <w:r>
        <w:rPr>
          <w:color w:val="000000" w:themeColor="text1"/>
        </w:rPr>
        <w:t>8.</w:t>
      </w:r>
      <w:r>
        <w:rPr>
          <w:color w:val="000000" w:themeColor="text1"/>
        </w:rPr>
        <w:tab/>
      </w:r>
      <w:r w:rsidRPr="008B1F6E">
        <w:rPr>
          <w:color w:val="000000" w:themeColor="text1"/>
        </w:rPr>
        <w:t xml:space="preserve">To amend Section 7-13-45 of the 1976 Code of Laws to read: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16CE7" w:rsidRPr="008B1F6E" w:rsidRDefault="00BA1E8E"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Section 7-13-45.  </w:t>
      </w:r>
      <w:r w:rsidR="00C16CE7">
        <w:rPr>
          <w:color w:val="000000" w:themeColor="text1"/>
        </w:rPr>
        <w:t>“</w:t>
      </w:r>
      <w:r w:rsidR="00C16CE7" w:rsidRPr="008B1F6E">
        <w:rPr>
          <w:color w:val="000000" w:themeColor="text1"/>
        </w:rPr>
        <w:t xml:space="preserve">In every general election year, the county chairman shall: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(1)</w:t>
      </w:r>
      <w:r w:rsidRPr="008B1F6E">
        <w:rPr>
          <w:color w:val="000000" w:themeColor="text1"/>
        </w:rPr>
        <w:tab/>
        <w:t xml:space="preserve">designate a specified place other than a private residence where persons may file a statement of intention of candidacy;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(2)</w:t>
      </w:r>
      <w:r w:rsidRPr="008B1F6E">
        <w:rPr>
          <w:color w:val="000000" w:themeColor="text1"/>
        </w:rPr>
        <w:tab/>
        <w:t xml:space="preserve">designate a specified place other than a private residence where persons may file as candidates;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(3)</w:t>
      </w:r>
      <w:r w:rsidRPr="008B1F6E">
        <w:rPr>
          <w:color w:val="000000" w:themeColor="text1"/>
        </w:rPr>
        <w:tab/>
        <w:t xml:space="preserve">establish regular hours of not less than four hours a day during the final </w:t>
      </w:r>
      <w:r>
        <w:rPr>
          <w:strike/>
          <w:color w:val="000000" w:themeColor="text1"/>
        </w:rPr>
        <w:t>seventy</w:t>
      </w:r>
      <w:r>
        <w:rPr>
          <w:strike/>
          <w:color w:val="000000" w:themeColor="text1"/>
        </w:rPr>
        <w:noBreakHyphen/>
        <w:t>two hours</w:t>
      </w:r>
      <w:r>
        <w:rPr>
          <w:color w:val="000000" w:themeColor="text1"/>
        </w:rPr>
        <w:t xml:space="preserve"> </w:t>
      </w:r>
      <w:r w:rsidRPr="008B1F6E">
        <w:rPr>
          <w:color w:val="000000" w:themeColor="text1"/>
          <w:u w:val="single"/>
        </w:rPr>
        <w:t>three business days</w:t>
      </w:r>
      <w:r w:rsidRPr="008B1F6E">
        <w:rPr>
          <w:color w:val="000000" w:themeColor="text1"/>
        </w:rPr>
        <w:t xml:space="preserve"> of the filing period in which he or some person he designates must be present at the designated place to accept filings; </w:t>
      </w:r>
    </w:p>
    <w:p w:rsidR="00C16CE7" w:rsidRPr="008B1F6E"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sidRPr="008B1F6E">
        <w:rPr>
          <w:color w:val="000000" w:themeColor="text1"/>
        </w:rPr>
        <w:t>(4)</w:t>
      </w:r>
      <w:r w:rsidRPr="008B1F6E">
        <w:rPr>
          <w:color w:val="000000" w:themeColor="text1"/>
        </w:rPr>
        <w:tab/>
        <w:t xml:space="preserve">place </w:t>
      </w:r>
      <w:r w:rsidRPr="000D51B5">
        <w:rPr>
          <w:strike/>
          <w:color w:val="000000" w:themeColor="text1"/>
        </w:rPr>
        <w:t>an</w:t>
      </w:r>
      <w:r w:rsidRPr="008B1F6E">
        <w:rPr>
          <w:color w:val="000000" w:themeColor="text1"/>
        </w:rPr>
        <w:t xml:space="preserve"> </w:t>
      </w:r>
      <w:r w:rsidRPr="000D51B5">
        <w:rPr>
          <w:color w:val="000000" w:themeColor="text1"/>
          <w:u w:val="single"/>
        </w:rPr>
        <w:t>a</w:t>
      </w:r>
      <w:r w:rsidRPr="0025189F">
        <w:rPr>
          <w:color w:val="000000" w:themeColor="text1"/>
          <w:u w:val="single"/>
        </w:rPr>
        <w:t xml:space="preserve"> l</w:t>
      </w:r>
      <w:r w:rsidRPr="008B1F6E">
        <w:rPr>
          <w:color w:val="000000" w:themeColor="text1"/>
          <w:u w:val="single"/>
        </w:rPr>
        <w:t>egal</w:t>
      </w:r>
      <w:r w:rsidRPr="008B1F6E">
        <w:rPr>
          <w:color w:val="000000" w:themeColor="text1"/>
        </w:rPr>
        <w:t xml:space="preserve"> advertisement to appear two weeks before the filing period begins in a newspaper of general circulation in the county at least five by seven inches in size </w:t>
      </w:r>
      <w:r w:rsidRPr="008B1F6E">
        <w:rPr>
          <w:color w:val="000000" w:themeColor="text1"/>
          <w:u w:val="single"/>
        </w:rPr>
        <w:t>and on the county’s website, if applicable, and on the party’s state website</w:t>
      </w:r>
      <w:r w:rsidRPr="008B1F6E">
        <w:rPr>
          <w:color w:val="000000" w:themeColor="text1"/>
        </w:rPr>
        <w:t xml:space="preserve"> that notifies the public of the dates of the filing periods, the offices which may be filed for, the place and street address where filings may be made, and the hours that an authorized person will be present to receive filings.</w:t>
      </w:r>
      <w:r>
        <w:rPr>
          <w:color w:val="000000" w:themeColor="text1"/>
        </w:rPr>
        <w:t>”</w:t>
      </w:r>
      <w:r w:rsidRPr="008B1F6E">
        <w:rPr>
          <w:color w:val="000000" w:themeColor="text1"/>
        </w:rPr>
        <w:t xml:space="preserve"> </w:t>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color w:val="000000" w:themeColor="text1"/>
        </w:rPr>
        <w:t>SECTION</w:t>
      </w:r>
      <w:r>
        <w:rPr>
          <w:color w:val="000000" w:themeColor="text1"/>
        </w:rPr>
        <w:tab/>
        <w:t>9.</w:t>
      </w:r>
      <w:r>
        <w:rPr>
          <w:color w:val="000000" w:themeColor="text1"/>
        </w:rPr>
        <w:tab/>
      </w:r>
      <w:r>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rFonts w:eastAsia="Calibri"/>
        </w:rPr>
        <w:tab/>
      </w: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C16CE7" w:rsidRDefault="00C16CE7" w:rsidP="00C1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This act takes effect on January 1, 2011.</w:t>
      </w:r>
    </w:p>
    <w:p w:rsidR="004E6A55" w:rsidRDefault="00CF47F5" w:rsidP="000A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E6A55" w:rsidSect="00CF4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A55" w:rsidRDefault="00CF47F5">
      <w:r>
        <w:separator/>
      </w:r>
    </w:p>
  </w:endnote>
  <w:endnote w:type="continuationSeparator" w:id="0">
    <w:p w:rsidR="004E6A55" w:rsidRDefault="00CF4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E0D16F-D47F-4961-B8F0-1F36B9E0BD46}"/>
    <w:embedBold r:id="rId2" w:fontKey="{F8F116A0-C0E3-4C30-BDBC-D015796EEB06}"/>
  </w:font>
  <w:font w:name="Calibri">
    <w:panose1 w:val="020F0502020204030204"/>
    <w:charset w:val="00"/>
    <w:family w:val="swiss"/>
    <w:pitch w:val="variable"/>
    <w:sig w:usb0="A00002EF" w:usb1="4000207B" w:usb2="00000000" w:usb3="00000000" w:csb0="0000009F" w:csb1="00000000"/>
    <w:embedRegular r:id="rId3" w:fontKey="{B50E65A6-5853-4E7D-8BD0-722A8B00C157}"/>
  </w:font>
  <w:font w:name="Cambria">
    <w:panose1 w:val="02040503050406030204"/>
    <w:charset w:val="00"/>
    <w:family w:val="roman"/>
    <w:pitch w:val="variable"/>
    <w:sig w:usb0="A00002EF" w:usb1="4000004B" w:usb2="00000000" w:usb3="00000000" w:csb0="0000009F" w:csb1="00000000"/>
    <w:embedRegular r:id="rId4" w:fontKey="{70A72C36-A53F-40C0-987F-687D38065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A55" w:rsidRDefault="00CF47F5">
    <w:pPr>
      <w:pStyle w:val="Footer"/>
      <w:tabs>
        <w:tab w:val="clear" w:pos="4680"/>
        <w:tab w:val="clear" w:pos="9360"/>
        <w:tab w:val="center" w:pos="2995"/>
      </w:tabs>
      <w:spacing w:before="120"/>
    </w:pPr>
    <w:r>
      <w:t>[590-</w:t>
    </w:r>
    <w:fldSimple w:instr=" PAGE  \* MERGEFORMAT ">
      <w:r w:rsidR="000A16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7F5" w:rsidRDefault="00CF47F5">
    <w:pPr>
      <w:pStyle w:val="Footer"/>
      <w:tabs>
        <w:tab w:val="clear" w:pos="4680"/>
        <w:tab w:val="clear" w:pos="9360"/>
        <w:tab w:val="center" w:pos="2995"/>
      </w:tabs>
      <w:spacing w:before="120"/>
    </w:pPr>
    <w:r>
      <w:t>[590]</w:t>
    </w:r>
    <w:r>
      <w:tab/>
    </w:r>
    <w:fldSimple w:instr=" PAGE  \* MERGEFORMAT ">
      <w:r w:rsidR="000A16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A55" w:rsidRDefault="00CF47F5">
      <w:r>
        <w:separator/>
      </w:r>
    </w:p>
  </w:footnote>
  <w:footnote w:type="continuationSeparator" w:id="0">
    <w:p w:rsidR="004E6A55" w:rsidRDefault="00CF4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195SD09"/>
    <w:docVar w:name="CoverBillType" w:val="b"/>
    <w:docVar w:name="docpath" w:val="L:\Council\bills\GJK\20195SD09.DOCX"/>
    <w:docVar w:name="dvBillNumber" w:val="590"/>
    <w:docVar w:name="dvBillNumberPrefix" w:val="S. "/>
    <w:docVar w:name="dvOriginalBody" w:val="Senate"/>
    <w:docVar w:name="dvSteno" w:val="GJK"/>
    <w:docVar w:name="NameofBody" w:val="s"/>
    <w:docVar w:name="vgroup2" w:val="Council"/>
  </w:docVars>
  <w:rsids>
    <w:rsidRoot w:val="004E6A55"/>
    <w:rsid w:val="000A1623"/>
    <w:rsid w:val="002D14C3"/>
    <w:rsid w:val="00321F8F"/>
    <w:rsid w:val="0038228A"/>
    <w:rsid w:val="004E6A55"/>
    <w:rsid w:val="005843D0"/>
    <w:rsid w:val="006857B7"/>
    <w:rsid w:val="00827B24"/>
    <w:rsid w:val="008E552A"/>
    <w:rsid w:val="00A236D5"/>
    <w:rsid w:val="00BA1E8E"/>
    <w:rsid w:val="00C16CE7"/>
    <w:rsid w:val="00CF47F5"/>
    <w:rsid w:val="00FF37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A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6A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A55"/>
    <w:rPr>
      <w:rFonts w:eastAsia="Times New Roman" w:cs="Times New Roman"/>
      <w:b/>
      <w:sz w:val="30"/>
      <w:szCs w:val="20"/>
    </w:rPr>
  </w:style>
  <w:style w:type="paragraph" w:styleId="Header">
    <w:name w:val="header"/>
    <w:basedOn w:val="Normal"/>
    <w:link w:val="HeaderChar"/>
    <w:unhideWhenUsed/>
    <w:rsid w:val="004E6A55"/>
    <w:pPr>
      <w:tabs>
        <w:tab w:val="center" w:pos="4320"/>
        <w:tab w:val="right" w:pos="8640"/>
      </w:tabs>
    </w:pPr>
  </w:style>
  <w:style w:type="character" w:customStyle="1" w:styleId="HeaderChar">
    <w:name w:val="Header Char"/>
    <w:basedOn w:val="DefaultParagraphFont"/>
    <w:link w:val="Header"/>
    <w:rsid w:val="004E6A55"/>
    <w:rPr>
      <w:rFonts w:eastAsia="Times New Roman" w:cs="Times New Roman"/>
      <w:szCs w:val="20"/>
    </w:rPr>
  </w:style>
  <w:style w:type="paragraph" w:styleId="Footer">
    <w:name w:val="footer"/>
    <w:basedOn w:val="Normal"/>
    <w:link w:val="FooterChar"/>
    <w:uiPriority w:val="99"/>
    <w:unhideWhenUsed/>
    <w:rsid w:val="004E6A55"/>
    <w:pPr>
      <w:tabs>
        <w:tab w:val="center" w:pos="4680"/>
        <w:tab w:val="right" w:pos="9360"/>
      </w:tabs>
    </w:pPr>
  </w:style>
  <w:style w:type="character" w:customStyle="1" w:styleId="FooterChar">
    <w:name w:val="Footer Char"/>
    <w:basedOn w:val="DefaultParagraphFont"/>
    <w:link w:val="Footer"/>
    <w:uiPriority w:val="99"/>
    <w:rsid w:val="004E6A55"/>
    <w:rPr>
      <w:rFonts w:eastAsia="Times New Roman" w:cs="Times New Roman"/>
      <w:szCs w:val="20"/>
    </w:rPr>
  </w:style>
  <w:style w:type="character" w:styleId="PageNumber">
    <w:name w:val="page number"/>
    <w:basedOn w:val="DefaultParagraphFont"/>
    <w:uiPriority w:val="99"/>
    <w:semiHidden/>
    <w:unhideWhenUsed/>
    <w:rsid w:val="004E6A55"/>
  </w:style>
  <w:style w:type="character" w:styleId="LineNumber">
    <w:name w:val="line number"/>
    <w:basedOn w:val="DefaultParagraphFont"/>
    <w:uiPriority w:val="99"/>
    <w:semiHidden/>
    <w:unhideWhenUsed/>
    <w:rsid w:val="004E6A55"/>
  </w:style>
  <w:style w:type="paragraph" w:customStyle="1" w:styleId="BillDots">
    <w:name w:val="BillDots"/>
    <w:basedOn w:val="Normal"/>
    <w:autoRedefine/>
    <w:qFormat/>
    <w:rsid w:val="004E6A5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E6A55"/>
    <w:pPr>
      <w:tabs>
        <w:tab w:val="right" w:pos="5904"/>
      </w:tabs>
    </w:pPr>
  </w:style>
  <w:style w:type="character" w:styleId="FollowedHyperlink">
    <w:name w:val="FollowedHyperlink"/>
    <w:basedOn w:val="DefaultParagraphFont"/>
    <w:uiPriority w:val="99"/>
    <w:semiHidden/>
    <w:unhideWhenUsed/>
    <w:rsid w:val="005843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999D7-D826-4F67-A1A6-F0E448D9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BrentWalling</cp:lastModifiedBy>
  <cp:revision>2</cp:revision>
  <cp:lastPrinted>2010-01-28T01:20:00Z</cp:lastPrinted>
  <dcterms:created xsi:type="dcterms:W3CDTF">2010-01-28T21:46:00Z</dcterms:created>
  <dcterms:modified xsi:type="dcterms:W3CDTF">2010-01-28T21:46:00Z</dcterms:modified>
</cp:coreProperties>
</file>