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eastAsia="Calibri" w:cs="Times New Roman"/>
          <w:color w:val="000000"/>
        </w:rPr>
        <w:t>TO AMEND SECTION 17</w:t>
      </w:r>
      <w:r>
        <w:rPr>
          <w:rFonts w:cs="Times New Roman"/>
          <w:color w:val="000000"/>
        </w:rPr>
        <w:noBreakHyphen/>
      </w:r>
      <w:r>
        <w:rPr>
          <w:rFonts w:eastAsia="Calibri" w:cs="Times New Roman"/>
          <w:color w:val="000000"/>
        </w:rPr>
        <w:t>15</w:t>
      </w:r>
      <w:r>
        <w:rPr>
          <w:rFonts w:cs="Times New Roman"/>
          <w:color w:val="000000"/>
        </w:rPr>
        <w:noBreakHyphen/>
      </w:r>
      <w:r>
        <w:rPr>
          <w:rFonts w:eastAsia="Calibri" w:cs="Times New Roman"/>
          <w:color w:val="000000"/>
        </w:rPr>
        <w:t>30, CODE OF LAWS OF SOUTH CAROLINA, 1976, RELATING TO MATTERS TO BE CONSIDERED IN DETERMINING CONDITIONS OF RELEASE, SO AS TO PROVIDE THAT A PERSON WHO IS RELEASED ON BAIL PENDING TRIAL, AND IS SUBSEQUENTLY CHARGED WITH A VIOLENT OFFENSE, SHALL BE DENIED BAIL WHEN THE PROSECUTOR PROVES BY A PREPONDERANCE OF THE EVIDENCE THAT NO CONDITION OR COMBINATION OF CONDITIONS REASONABLY ASSURES THE SAFETY OF ANY OTHER PERSON OR THE SAFETY OF THE COMMUNITY IF THE PERSON IS RELEASED; AND TO AMEND SECTION 22</w:t>
      </w:r>
      <w:r>
        <w:rPr>
          <w:rFonts w:cs="Times New Roman"/>
          <w:color w:val="000000"/>
        </w:rPr>
        <w:noBreakHyphen/>
      </w:r>
      <w:r>
        <w:rPr>
          <w:rFonts w:eastAsia="Calibri" w:cs="Times New Roman"/>
          <w:color w:val="000000"/>
        </w:rPr>
        <w:t>5</w:t>
      </w:r>
      <w:r>
        <w:rPr>
          <w:rFonts w:cs="Times New Roman"/>
          <w:color w:val="000000"/>
        </w:rPr>
        <w:noBreakHyphen/>
      </w:r>
      <w:r>
        <w:rPr>
          <w:rFonts w:eastAsia="Calibri" w:cs="Times New Roman"/>
          <w:color w:val="000000"/>
        </w:rPr>
        <w:t xml:space="preserve">510, RELATING TO BOND HEARINGS IN MAGISTRATES COURTS, SO AS TO REQUIRE THAT PENDING CHARGES AGAINST A PERSON REQUESTING BAIL SHALL BE CONSIDERED BY THE MAGISTRATE IN DETERMINING IF BAIL IS GRANTED OR DENIED.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1.</w:t>
      </w:r>
      <w:r>
        <w:rPr>
          <w:rFonts w:eastAsia="Times New Roman" w:cs="Times New Roman"/>
          <w:color w:val="000000"/>
        </w:rPr>
        <w:tab/>
        <w:t>Section 17</w:t>
      </w:r>
      <w:r>
        <w:rPr>
          <w:rFonts w:eastAsia="Times New Roman" w:cs="Times New Roman"/>
          <w:color w:val="000000"/>
        </w:rPr>
        <w:noBreakHyphen/>
        <w:t>15</w:t>
      </w:r>
      <w:r>
        <w:rPr>
          <w:rFonts w:eastAsia="Times New Roman" w:cs="Times New Roman"/>
          <w:color w:val="000000"/>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17</w:t>
      </w:r>
      <w:r>
        <w:rPr>
          <w:rFonts w:eastAsia="Times New Roman" w:cs="Times New Roman"/>
          <w:color w:val="000000"/>
        </w:rPr>
        <w:noBreakHyphen/>
        <w:t>15</w:t>
      </w:r>
      <w:r>
        <w:rPr>
          <w:rFonts w:eastAsia="Times New Roman" w:cs="Times New Roman"/>
          <w:color w:val="000000"/>
        </w:rPr>
        <w:noBreakHyphen/>
        <w:t>30.</w:t>
      </w:r>
      <w:r>
        <w:rPr>
          <w:rFonts w:eastAsia="Times New Roman" w:cs="Times New Roman"/>
          <w:color w:val="000000"/>
        </w:rPr>
        <w:tab/>
        <w:t>(A)</w:t>
      </w:r>
      <w:r>
        <w:rPr>
          <w:rFonts w:eastAsia="Times New Roman" w:cs="Times New Roman"/>
          <w:color w:val="000000"/>
        </w:rPr>
        <w:tab/>
        <w:t xml:space="preserve">In determining conditions of release that will reasonably assure appearance, or if release would constitute an unreasonable danger to </w:t>
      </w:r>
      <w:r>
        <w:rPr>
          <w:rFonts w:eastAsia="Times New Roman" w:cs="Times New Roman"/>
          <w:color w:val="000000"/>
          <w:u w:val="single"/>
        </w:rPr>
        <w:t>any other person or</w:t>
      </w:r>
      <w:r>
        <w:rPr>
          <w:rFonts w:eastAsia="Times New Roman" w:cs="Times New Roman"/>
          <w:color w:val="000000"/>
        </w:rPr>
        <w:t xml:space="preserve"> the community, the court may, on the basis of available information, consider the nature and circumstances of the offense charged, the accused’s family ties, employment, financial resources, character and mental condition, the length of his residence in the community, his record of convictions, and his record of flight to avoid prosecution or failure to appear at other court proceedings.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rPr>
      </w:pPr>
      <w:r>
        <w:rPr>
          <w:rFonts w:eastAsia="Times New Roman" w:cs="Times New Roman"/>
          <w:color w:val="000000"/>
        </w:rPr>
        <w:tab/>
      </w:r>
      <w:r>
        <w:rPr>
          <w:rFonts w:eastAsia="Times New Roman" w:cs="Times New Roman"/>
        </w:rPr>
        <w:t>(B)</w:t>
      </w:r>
      <w:r>
        <w:rPr>
          <w:rFonts w:eastAsia="Times New Roman" w:cs="Times New Roman"/>
        </w:rPr>
        <w:tab/>
        <w:t>The court shall consider</w:t>
      </w:r>
      <w:r>
        <w:rPr>
          <w:rFonts w:eastAsia="Times New Roman" w:cs="Times New Roman"/>
          <w:u w:val="single"/>
        </w:rPr>
        <w:t>:</w:t>
      </w:r>
      <w:r>
        <w:rPr>
          <w:rFonts w:eastAsia="Times New Roman"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(1)</w:t>
      </w:r>
      <w:r>
        <w:rPr>
          <w:rFonts w:eastAsia="Times New Roman" w:cs="Times New Roman"/>
        </w:rPr>
        <w:tab/>
        <w:t>the accused’s criminal record, if any</w:t>
      </w:r>
      <w:r>
        <w:rPr>
          <w:rFonts w:eastAsia="Times New Roman" w:cs="Times New Roman"/>
          <w:u w:val="single"/>
        </w:rPr>
        <w:t>, including, but not limited to, any charges pending against the accused at the time release is requested;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Pr>
          <w:rFonts w:eastAsia="Times New Roman" w:cs="Times New Roman"/>
        </w:rPr>
        <w:tab/>
      </w:r>
      <w:r>
        <w:rPr>
          <w:rFonts w:eastAsia="Times New Roman" w:cs="Times New Roman"/>
        </w:rPr>
        <w:tab/>
      </w:r>
      <w:r>
        <w:rPr>
          <w:rFonts w:eastAsia="Times New Roman" w:cs="Times New Roman"/>
          <w:u w:val="single"/>
        </w:rPr>
        <w:t>(2)</w:t>
      </w:r>
      <w:r>
        <w:rPr>
          <w:rFonts w:eastAsia="Times New Roman" w:cs="Times New Roman"/>
        </w:rPr>
        <w:tab/>
      </w:r>
      <w:r>
        <w:rPr>
          <w:rFonts w:eastAsia="Times New Roman" w:cs="Times New Roman"/>
          <w:strike/>
        </w:rPr>
        <w:t>The court shall consider, if available,</w:t>
      </w:r>
      <w:r>
        <w:rPr>
          <w:rFonts w:eastAsia="Times New Roman" w:cs="Times New Roman"/>
        </w:rPr>
        <w:t xml:space="preserve"> all incident reports generated as a result of the offense charged</w:t>
      </w:r>
      <w:r>
        <w:rPr>
          <w:rFonts w:eastAsia="Times New Roman" w:cs="Times New Roman"/>
          <w:u w:val="single"/>
        </w:rPr>
        <w:t>, if available;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ab/>
      </w:r>
      <w:r>
        <w:rPr>
          <w:rFonts w:eastAsia="Times New Roman" w:cs="Times New Roman"/>
        </w:rPr>
        <w:tab/>
      </w:r>
      <w:r>
        <w:rPr>
          <w:rFonts w:eastAsia="Times New Roman" w:cs="Times New Roman"/>
          <w:u w:val="single"/>
        </w:rPr>
        <w:t>(3)</w:t>
      </w:r>
      <w:r>
        <w:rPr>
          <w:rFonts w:eastAsia="Times New Roman" w:cs="Times New Roman"/>
        </w:rPr>
        <w:tab/>
      </w:r>
      <w:r>
        <w:rPr>
          <w:rFonts w:eastAsia="Times New Roman" w:cs="Times New Roman"/>
          <w:u w:val="single"/>
        </w:rPr>
        <w:t>whether the accused is not lawfully present in the United States in violation of the Federal Immigration and Nationality Act or another federal law relating to illegal immigration and poses a substantial flight risk due to this status</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(C)</w:t>
      </w:r>
      <w:r>
        <w:rPr>
          <w:rFonts w:eastAsia="Times New Roman" w:cs="Times New Roman"/>
          <w:color w:val="000000"/>
        </w:rPr>
        <w:tab/>
      </w:r>
      <w:r>
        <w:rPr>
          <w:rFonts w:eastAsia="Times New Roman" w:cs="Times New Roman"/>
          <w:color w:val="000000"/>
          <w:u w:val="single"/>
        </w:rPr>
        <w:t xml:space="preserve">If a person has previously been released on bail pending trial and during his release is charged with a violent offense as defined by Section 16-1-60, and the court finds, by a preponderance of the evidence, that no condition or combination of conditions will reasonably assure the appearance </w:t>
      </w:r>
      <w:r>
        <w:rPr>
          <w:rFonts w:eastAsia="Times New Roman" w:cs="Times New Roman"/>
          <w:szCs w:val="20"/>
          <w:u w:val="single"/>
        </w:rPr>
        <w:t>of the person as required or the safety of any other person and the</w:t>
      </w:r>
      <w:r>
        <w:rPr>
          <w:rFonts w:eastAsia="Times New Roman" w:cs="Times New Roman"/>
          <w:color w:val="000000"/>
          <w:u w:val="single"/>
        </w:rPr>
        <w:t xml:space="preserve"> community, then the court shall deny release of the person pending trial.</w:t>
      </w:r>
      <w:r>
        <w:rPr>
          <w:rFonts w:eastAsia="Times New Roman"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510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22</w:t>
      </w:r>
      <w:r>
        <w:rPr>
          <w:rFonts w:eastAsia="Times New Roman" w:cs="Times New Roman"/>
          <w:szCs w:val="20"/>
        </w:rPr>
        <w:noBreakHyphen/>
        <w:t>5</w:t>
      </w:r>
      <w:r>
        <w:rPr>
          <w:rFonts w:eastAsia="Times New Roman" w:cs="Times New Roman"/>
          <w:szCs w:val="20"/>
        </w:rPr>
        <w:noBreakHyphen/>
        <w:t>510.</w:t>
      </w:r>
      <w:r>
        <w:rPr>
          <w:rFonts w:eastAsia="Times New Roman" w:cs="Times New Roman"/>
          <w:szCs w:val="20"/>
        </w:rPr>
        <w:tab/>
        <w:t>(A)</w:t>
      </w:r>
      <w:r>
        <w:rPr>
          <w:rFonts w:eastAsia="Times New Roman" w:cs="Times New Roman"/>
          <w:szCs w:val="20"/>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Pr>
          <w:rFonts w:eastAsia="Times New Roman" w:cs="Times New Roman"/>
          <w:szCs w:val="20"/>
          <w:u w:val="single"/>
        </w:rPr>
        <w:t>, including, but not limited to, any charges pending against the person requesting bail</w:t>
      </w:r>
      <w:r>
        <w:rPr>
          <w:rFonts w:eastAsia="Times New Roman" w:cs="Times New Roman"/>
          <w:szCs w:val="20"/>
        </w:rPr>
        <w:t>.  ‘Violent offenses’ as used in this section means the offenses contained in Section 16</w:t>
      </w:r>
      <w:r>
        <w:rPr>
          <w:rFonts w:eastAsia="Times New Roman" w:cs="Times New Roman"/>
          <w:szCs w:val="20"/>
        </w:rPr>
        <w:noBreakHyphen/>
        <w:t>1</w:t>
      </w:r>
      <w:r>
        <w:rPr>
          <w:rFonts w:eastAsia="Times New Roman" w:cs="Times New Roman"/>
          <w:szCs w:val="20"/>
        </w:rPr>
        <w:noBreakHyphen/>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szCs w:val="20"/>
        </w:rPr>
        <w:tab/>
        <w:t>(B)</w:t>
      </w:r>
      <w:r>
        <w:rPr>
          <w:rFonts w:eastAsia="Times New Roman" w:cs="Times New Roman"/>
          <w:szCs w:val="20"/>
        </w:rPr>
        <w:tab/>
        <w:t>A person charged with a bailable offense must have a bond hearing within twenty</w:t>
      </w:r>
      <w:r>
        <w:rPr>
          <w:rFonts w:eastAsia="Times New Roman" w:cs="Times New Roman"/>
          <w:szCs w:val="20"/>
        </w:rPr>
        <w:noBreakHyphen/>
        <w:t>four hours of his arrest and must be released within a reasonable time, not to exceed four hours, after the bond is delivered to the incarcerating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t>This act takes effect upon approval by the Governor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3A7DD8-7103-40E4-B208-E26446D0083F}"/>
    <w:embedBold r:id="rId2" w:fontKey="{AE475450-1E8D-49FF-A279-7ABEDF8B6DA7}"/>
  </w:font>
  <w:font w:name="Calibri">
    <w:panose1 w:val="020F0502020204030204"/>
    <w:charset w:val="00"/>
    <w:family w:val="swiss"/>
    <w:pitch w:val="variable"/>
    <w:sig w:usb0="A00002EF" w:usb1="4000207B" w:usb2="00000000" w:usb3="00000000" w:csb0="0000009F" w:csb1="00000000"/>
    <w:embedRegular r:id="rId3" w:fontKey="{E04E9F93-B483-4F47-B619-D44F7B86C142}"/>
  </w:font>
  <w:font w:name="Tahoma">
    <w:panose1 w:val="020B0604030504040204"/>
    <w:charset w:val="00"/>
    <w:family w:val="swiss"/>
    <w:pitch w:val="variable"/>
    <w:sig w:usb0="61002A87" w:usb1="80000000" w:usb2="00000008" w:usb3="00000000" w:csb0="000101FF" w:csb1="00000000"/>
    <w:embedRegular r:id="rId4" w:fontKey="{25C87030-6AF1-4F4E-938F-92E63C93BEC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7679175-AEB3-4054-B966-56EAD41074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560</Words>
  <Characters>3192</Characters>
  <Application>Microsoft Office Word</Application>
  <DocSecurity>0</DocSecurity>
  <Lines>26</Lines>
  <Paragraphs>7</Paragraphs>
  <ScaleCrop>false</ScaleCrop>
  <Company>Project Management</Company>
  <LinksUpToDate>false</LinksUpToDate>
  <CharactersWithSpaces>3745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2008-12-10T18:54:00Z</dcterms:created>
  <dcterms:modified xsi:type="dcterms:W3CDTF">2008-12-10T18:54:00Z</dcterms:modified>
</cp:coreProperties>
</file>