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noBreakHyphen/>
        <w:t>36</w:t>
      </w:r>
      <w:r>
        <w:noBreakHyphen/>
        <w:t>2120 AND 12</w:t>
      </w:r>
      <w:r>
        <w:noBreakHyphen/>
        <w:t>37</w:t>
      </w:r>
      <w:r>
        <w:noBreakHyphen/>
        <w:t>220, BOTH AS AMENDED, CODE OF LAWS OF SOUTH CAROLINA, 1976, RELATING TO SALES TAX EXEMPTIONS AND PROPERTY TAX EXEMPTIONS, SO AS TO EXEMPT MACHINERY, EQUIPMENT, BUILDING AND OTHER RAW MATERIALS, AND ELECTRICITY USED BY A FACILITY OWNED BY A TAX EXEMPT ORGANIZATION INVESTING AT LEAST TWENTY MILLION DOLLARS OVER THREE YEARS IN THE FACILITY WHEN THAT FACILITY IS USED PRINCIPALLY FOR RESEARCHING AND TESTING THE IMPACT OF NATURAL HAZARDS SUCH AS WIND, FIRE, EARTHQUAKE, AND HAIL ON BUILDING MATERIALS USED IN RESIDENTIAL, COMMERCIAL, AND AGRICULTURAL BUILDINGS.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 of the 1976 Code, as last amended by Act 338 of 2008, is further amended by adding a new item at the end appropriately numbered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w:t>
      </w:r>
      <w:r>
        <w:lastRenderedPageBreak/>
        <w:t>this State over the three</w:t>
      </w:r>
      <w:r>
        <w:noBreakHyphen/>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w:t>
      </w:r>
      <w:r>
        <w:noBreakHyphen/>
        <w:t>free pursuant to this item but due the State as a result of the taxpayer’s failure to meet the twenty million dollar investment requirement.  The running of the periods of limitations for assessment of taxes provided in Section 12</w:t>
      </w:r>
      <w:r>
        <w:noBreakHyphen/>
        <w:t>54</w:t>
      </w:r>
      <w:r>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220(B) of the 1976 Code, as last amended by Act 357 of 2008, is further amended by adding a new item at the end appropriately numbered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All property used in the operation of a facility with a capital investment of twenty million dollars or more at a single site which is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A5590A-E497-4CE9-B3ED-EC040B897EB8}"/>
    <w:embedBold r:id="rId2" w:fontKey="{363E491D-7F47-4F4D-94DA-CE3371AB9129}"/>
  </w:font>
  <w:font w:name="Calibri">
    <w:panose1 w:val="020F0502020204030204"/>
    <w:charset w:val="00"/>
    <w:family w:val="swiss"/>
    <w:pitch w:val="variable"/>
    <w:sig w:usb0="A00002EF" w:usb1="4000207B" w:usb2="00000000" w:usb3="00000000" w:csb0="0000009F" w:csb1="00000000"/>
    <w:embedRegular r:id="rId3" w:fontKey="{922555FF-E935-41CE-BD38-297DAA854DF6}"/>
  </w:font>
  <w:font w:name="Cambria">
    <w:panose1 w:val="02040503050406030204"/>
    <w:charset w:val="00"/>
    <w:family w:val="roman"/>
    <w:pitch w:val="variable"/>
    <w:sig w:usb0="A00002EF" w:usb1="4000004B" w:usb2="00000000" w:usb3="00000000" w:csb0="0000009F" w:csb1="00000000"/>
    <w:embedRegular r:id="rId4" w:fontKey="{8E688494-34A3-4435-8D80-CA2EB38296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32HTC09"/>
    <w:docVar w:name="CoverBillType" w:val="b"/>
    <w:docVar w:name="docpath" w:val="L:\Council\bills\BBM\9332HTC09.DOCX"/>
    <w:docVar w:name="dvBillNumber" w:val="717"/>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2935</Characters>
  <Application>Microsoft Office Word</Application>
  <DocSecurity>0</DocSecurity>
  <Lines>24</Lines>
  <Paragraphs>6</Paragraphs>
  <ScaleCrop>false</ScaleCrop>
  <Company> </Company>
  <LinksUpToDate>false</LinksUpToDate>
  <CharactersWithSpaces>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2009-04-06T14:18:00Z</cp:lastPrinted>
  <dcterms:created xsi:type="dcterms:W3CDTF">2009-04-15T19:08:00Z</dcterms:created>
  <dcterms:modified xsi:type="dcterms:W3CDTF">2009-04-15T19:08:00Z</dcterms:modified>
</cp:coreProperties>
</file>