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 as added by Act 313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w:t>
      </w:r>
      <w:r>
        <w:rPr>
          <w:rFonts w:eastAsiaTheme="minorHAnsi"/>
          <w:color w:val="000000" w:themeColor="text1"/>
          <w:szCs w:val="22"/>
          <w:u w:color="000000" w:themeColor="text1"/>
        </w:rPr>
        <w:lastRenderedPageBreak/>
        <w:t xml:space="preserve">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“positive majority vote”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 xml:space="preserve">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w:t>
      </w:r>
      <w:r>
        <w:rPr>
          <w:rFonts w:eastAsiaTheme="minorHAnsi"/>
          <w:color w:val="000000" w:themeColor="text1"/>
          <w:szCs w:val="22"/>
          <w:u w:color="000000" w:themeColor="text1"/>
        </w:rPr>
        <w:lastRenderedPageBreak/>
        <w:t>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If the taxpayer has acquired the textile mill site after December 31, 2007, the provisions of this item (2) apply to the textile mill site; </w:t>
      </w:r>
      <w:r>
        <w:rPr>
          <w:rFonts w:eastAsiaTheme="minorHAnsi"/>
          <w:color w:val="000000" w:themeColor="text1"/>
          <w:szCs w:val="22"/>
          <w:u w:val="single" w:color="000000" w:themeColor="text1"/>
        </w:rPr>
        <w:lastRenderedPageBreak/>
        <w:t>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textile mill site, or any phase or portion of the textile mill site, the taxpayer may transfer all, or part of the remaining credit, </w:t>
      </w:r>
      <w:r>
        <w:rPr>
          <w:rFonts w:eastAsiaTheme="minorHAnsi"/>
          <w:color w:val="000000" w:themeColor="text1"/>
          <w:szCs w:val="22"/>
          <w:u w:color="000000" w:themeColor="text1"/>
        </w:rPr>
        <w:lastRenderedPageBreak/>
        <w:t xml:space="preserve">associated with the rehabilitation expenses incurred with respect to that phase or portion of the site to the purchaser of the applicable portion of the textile mill 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taxpayer is not eligible for the credit if the taxpayer owned the otherwise eligible textile mill site when the site was operational and immediately prior to its abandonment.”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color="000000" w:themeColor="text1"/>
        </w:rPr>
        <w:tab/>
        <w:t>Chapter 65,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D57F04-00F7-4728-ACAC-ECAB91BA132A}"/>
    <w:embedBold r:id="rId2" w:fontKey="{21B08F78-9D5F-48E0-BE13-E5F345A930F0}"/>
  </w:font>
  <w:font w:name="Calibri">
    <w:panose1 w:val="020F0502020204030204"/>
    <w:charset w:val="00"/>
    <w:family w:val="swiss"/>
    <w:pitch w:val="variable"/>
    <w:sig w:usb0="A00002EF" w:usb1="4000207B" w:usb2="00000000" w:usb3="00000000" w:csb0="0000009F" w:csb1="00000000"/>
    <w:embedRegular r:id="rId3" w:fontKey="{8662B761-0878-4931-84E0-823376703D29}"/>
  </w:font>
  <w:font w:name="Cambria">
    <w:panose1 w:val="02040503050406030204"/>
    <w:charset w:val="00"/>
    <w:family w:val="roman"/>
    <w:pitch w:val="variable"/>
    <w:sig w:usb0="A00002EF" w:usb1="4000004B" w:usb2="00000000" w:usb3="00000000" w:csb0="0000009F" w:csb1="00000000"/>
    <w:embedRegular r:id="rId4" w:fontKey="{1CD9CBA2-E18D-4191-998E-23FCED983A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1875</Words>
  <Characters>10693</Characters>
  <Application>Microsoft Office Word</Application>
  <DocSecurity>0</DocSecurity>
  <Lines>89</Lines>
  <Paragraphs>25</Paragraphs>
  <ScaleCrop>false</ScaleCrop>
  <Company> </Company>
  <LinksUpToDate>false</LinksUpToDate>
  <CharactersWithSpaces>12543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2009-04-21T13:11:00Z</cp:lastPrinted>
  <dcterms:created xsi:type="dcterms:W3CDTF">2009-04-21T16:29:00Z</dcterms:created>
  <dcterms:modified xsi:type="dcterms:W3CDTF">2009-04-21T16:29:00Z</dcterms:modified>
</cp:coreProperties>
</file>