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t>(A)</w:t>
      </w:r>
      <w:r>
        <w:tab/>
      </w:r>
      <w:r>
        <w:rPr>
          <w:rFonts w:eastAsiaTheme="minorHAnsi"/>
          <w:color w:val="000000" w:themeColor="text1"/>
          <w:szCs w:val="22"/>
          <w:u w:color="000000" w:themeColor="text1"/>
        </w:rPr>
        <w:t>The South Carolina Building Codes Council is directed to modify the South Carolina Residential Building Code by July 1, 2009, to incorporate the results of the research funded in 2008 by the General Assembly by Clemson University and The Citadel to develop new risk</w:t>
      </w:r>
      <w:r>
        <w:rPr>
          <w:rFonts w:eastAsiaTheme="minorHAnsi"/>
          <w:color w:val="000000" w:themeColor="text1"/>
          <w:szCs w:val="22"/>
          <w:u w:color="000000" w:themeColor="text1"/>
        </w:rPr>
        <w:noBreakHyphen/>
        <w:t>based seismic and wind maps.  These maps, along with associated changes in provisions that will seek to match the expected next generation of the national model code provisions for wind and seismic design, must be used until the 2012 International Residential Code (IRC) building code is adopted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 xml:space="preserve">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w:t>
      </w:r>
      <w:r>
        <w:rPr>
          <w:rFonts w:eastAsiaTheme="minorHAnsi"/>
          <w:color w:val="000000" w:themeColor="text1"/>
          <w:szCs w:val="22"/>
          <w:u w:color="000000" w:themeColor="text1"/>
        </w:rPr>
        <w:lastRenderedPageBreak/>
        <w:t>for each ZIP code area must be used to determine the values appearing in this ZIP code</w:t>
      </w:r>
      <w:r>
        <w:rPr>
          <w:rFonts w:eastAsiaTheme="minorHAnsi"/>
          <w:color w:val="000000" w:themeColor="text1"/>
          <w:szCs w:val="22"/>
          <w:u w:color="000000" w:themeColor="text1"/>
        </w:rPr>
        <w:noBreakHyphen/>
        <w:t xml:space="preserve">based table.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6</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40 of the 1976 Code, as last amended by Act 54 of 2007,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Notwithstanding the provisions of this section, if a community’s insurance rating is down graded resulting in the loss of insurance premium credits by the FEMA National Flood Insurance program specifically as a result of modifications to the South Carolina Building Code, the community may opt out of these building code modifications and adopt the wind and seismic provisions contained in the current version of the IRC Building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59CBA1-0946-4E54-9185-B775458812A5}"/>
    <w:embedBold r:id="rId2" w:fontKey="{0425B978-B7B5-4699-A40C-CCF1E8946DC7}"/>
  </w:font>
  <w:font w:name="Calibri">
    <w:panose1 w:val="020F0502020204030204"/>
    <w:charset w:val="00"/>
    <w:family w:val="swiss"/>
    <w:pitch w:val="variable"/>
    <w:sig w:usb0="A00002EF" w:usb1="4000207B" w:usb2="00000000" w:usb3="00000000" w:csb0="0000009F" w:csb1="00000000"/>
    <w:embedRegular r:id="rId3" w:fontKey="{571E2EEE-EE70-4484-80B3-640D21853EDC}"/>
  </w:font>
  <w:font w:name="Cambria">
    <w:panose1 w:val="02040503050406030204"/>
    <w:charset w:val="00"/>
    <w:family w:val="roman"/>
    <w:pitch w:val="variable"/>
    <w:sig w:usb0="A00002EF" w:usb1="4000004B" w:usb2="00000000" w:usb3="00000000" w:csb0="0000009F" w:csb1="00000000"/>
    <w:embedRegular r:id="rId4" w:fontKey="{61B3DD81-DDA1-4B85-807E-88ECD6436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2009-05-05T20:17:00Z</cp:lastPrinted>
  <dcterms:created xsi:type="dcterms:W3CDTF">2009-05-06T16:55:00Z</dcterms:created>
  <dcterms:modified xsi:type="dcterms:W3CDTF">2009-05-06T16:55:00Z</dcterms:modified>
</cp:coreProperties>
</file>