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1, TITLE 54, CODE OF LAWS OF SOUTH CAROLINA, 1976, BY DESIGNATING SECTIONS 54</w:t>
      </w:r>
      <w:r>
        <w:rPr>
          <w:rFonts w:eastAsia="Times New Roman" w:cs="Times New Roman"/>
          <w:szCs w:val="20"/>
        </w:rPr>
        <w:noBreakHyphen/>
        <w:t>1</w:t>
      </w:r>
      <w:r>
        <w:rPr>
          <w:rFonts w:eastAsia="Times New Roman" w:cs="Times New Roman"/>
          <w:szCs w:val="20"/>
        </w:rPr>
        <w:noBreakHyphen/>
        <w:t>10 THROUGH 54</w:t>
      </w:r>
      <w:r>
        <w:rPr>
          <w:rFonts w:eastAsia="Times New Roman" w:cs="Times New Roman"/>
          <w:szCs w:val="20"/>
        </w:rPr>
        <w:noBreakHyphen/>
        <w:t>1</w:t>
      </w:r>
      <w:r>
        <w:rPr>
          <w:rFonts w:eastAsia="Times New Roman" w:cs="Times New Roman"/>
          <w:szCs w:val="20"/>
        </w:rPr>
        <w:noBreakHyphen/>
        <w:t>40 AS ARTICLE 1, ENTITLED “GENERAL PROVISIONS”; AND BY ADDING ARTICLE 5 ENACTING THE “WATERCRAFT GAMBLING ACT” SO AS TO MAKE IT LAWFUL TO USE GAMBLING DEVICES ON WATERCRAFT AND TO PROVIDE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rPr>
        <w:t>A.</w:t>
      </w:r>
      <w:r>
        <w:rPr>
          <w:rFonts w:eastAsia="Times New Roman" w:cs="Times New Roman"/>
        </w:rPr>
        <w:tab/>
      </w:r>
      <w:r>
        <w:rPr>
          <w:rFonts w:eastAsia="Times New Roman" w:cs="Times New Roman"/>
        </w:rPr>
        <w:tab/>
        <w:t>Sections 54</w:t>
      </w:r>
      <w:r>
        <w:rPr>
          <w:rFonts w:eastAsia="Times New Roman" w:cs="Times New Roman"/>
        </w:rPr>
        <w:noBreakHyphen/>
        <w:t>1</w:t>
      </w:r>
      <w:r>
        <w:rPr>
          <w:rFonts w:eastAsia="Times New Roman" w:cs="Times New Roman"/>
        </w:rPr>
        <w:noBreakHyphen/>
        <w:t>10 through 54</w:t>
      </w:r>
      <w:r>
        <w:rPr>
          <w:rFonts w:eastAsia="Times New Roman" w:cs="Times New Roman"/>
        </w:rPr>
        <w:noBreakHyphen/>
        <w:t>1</w:t>
      </w:r>
      <w:r>
        <w:rPr>
          <w:rFonts w:eastAsia="Times New Roman" w:cs="Times New Roman"/>
        </w:rPr>
        <w:noBreakHyphen/>
        <w:t>40 of the 1976 Code are designated Article 1, Chapter 1, Title 54 of the 1976 Code entitled “General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w:t>
      </w:r>
      <w:r>
        <w:rPr>
          <w:rFonts w:eastAsia="Times New Roman" w:cs="Times New Roman"/>
        </w:rPr>
        <w:tab/>
      </w:r>
      <w:r>
        <w:rPr>
          <w:rFonts w:eastAsia="Times New Roman" w:cs="Times New Roman"/>
        </w:rPr>
        <w:tab/>
        <w:t xml:space="preserve">Chapter 1, Title 54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b/>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b/>
        <w:t>The Watercraft Gambling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54</w:t>
      </w:r>
      <w:r>
        <w:rPr>
          <w:rFonts w:eastAsia="Times New Roman" w:cs="Times New Roman"/>
        </w:rPr>
        <w:noBreakHyphen/>
        <w:t>1</w:t>
      </w:r>
      <w:r>
        <w:rPr>
          <w:rFonts w:eastAsia="Times New Roman" w:cs="Times New Roman"/>
        </w:rPr>
        <w:noBreakHyphen/>
        <w:t>410.</w:t>
      </w:r>
      <w:r>
        <w:rPr>
          <w:rFonts w:eastAsia="Times New Roman" w:cs="Times New Roman"/>
        </w:rPr>
        <w:tab/>
        <w:t>(A)</w:t>
      </w:r>
      <w:r>
        <w:rPr>
          <w:rFonts w:eastAsia="Times New Roman" w:cs="Times New Roman"/>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 xml:space="preserve">‘Watercraft’ means watercraft used or capable of being used as a means of transportation on or in water, as well as a ship, boat, barge, or other watercraft or other structure capable of floating on or in the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‘Gambling device’ means, but is not limited to, slot machines, punch boards, video poker, blackjack machines, keeno, or other video gambling machines.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It is lawful for a person to use a gambling device aboard a watercraft within the jurisdiction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A tax equal to thirty</w:t>
      </w:r>
      <w:r>
        <w:rPr>
          <w:rFonts w:eastAsia="Times New Roman" w:cs="Times New Roman"/>
        </w:rPr>
        <w:noBreakHyphen/>
        <w:t>five percent is levied on net watercraft gambling proceeds, payable monthly.  On the fifteenth day of each month, a return with the tax due and payable for the preceding month must be filed with the Department of Revenue.  The provisions of Chapter 54, Title 12 apply to the reporting, payment, enforcement, and collection of this tax.  For purposes of this subsection, ‘net watercraft gambling proceeds’ means the total amount wagered or otherwise paid with regard to a gambling device aboard a watercraft, less amounts paid out as winnings.  Of the amount collected, the State Treasurer shall remit seventy</w:t>
      </w:r>
      <w:r>
        <w:rPr>
          <w:rFonts w:eastAsia="Times New Roman" w:cs="Times New Roman"/>
        </w:rPr>
        <w:noBreakHyphen/>
        <w:t>five percent to the general fund of the State and the remaining twenty</w:t>
      </w:r>
      <w:r>
        <w:rPr>
          <w:rFonts w:eastAsia="Times New Roman" w:cs="Times New Roman"/>
        </w:rPr>
        <w:noBreakHyphen/>
        <w:t>five percent to the county in which the watercraft is located.  If the watercraft is located in a municipality, the municipality must receive a portion of the county’s share in the proportion that the population of the municipality is of the total population of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The provisions of this article are applicable to a municipality and county that has not passed ordinances pursuant to the provisions of Section 3</w:t>
      </w:r>
      <w:r>
        <w:rPr>
          <w:rFonts w:eastAsia="Times New Roman" w:cs="Times New Roman"/>
        </w:rPr>
        <w:noBreakHyphen/>
        <w:t>11</w:t>
      </w:r>
      <w:r>
        <w:rPr>
          <w:rFonts w:eastAsia="Times New Roman" w:cs="Times New Roman"/>
        </w:rPr>
        <w:noBreakHyphen/>
        <w:t>500.”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2.</w:t>
      </w:r>
      <w:r>
        <w:rPr>
          <w:rFonts w:eastAsia="Times New Roman" w:cs="Times New Roman"/>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57D0C7-7627-4BE7-A176-4F3A12EAD55B}"/>
    <w:embedBold r:id="rId2" w:fontKey="{78BD74ED-3E4F-44A5-8EB9-058F7EAFF44A}"/>
  </w:font>
  <w:font w:name="Calibri">
    <w:panose1 w:val="020F0502020204030204"/>
    <w:charset w:val="00"/>
    <w:family w:val="swiss"/>
    <w:pitch w:val="variable"/>
    <w:sig w:usb0="A00002EF" w:usb1="4000207B" w:usb2="00000000" w:usb3="00000000" w:csb0="0000009F" w:csb1="00000000"/>
    <w:embedRegular r:id="rId3" w:fontKey="{55C269A6-6D7D-49B8-B8B7-2BCCC0E66054}"/>
  </w:font>
  <w:font w:name="Tahoma">
    <w:panose1 w:val="020B0604030504040204"/>
    <w:charset w:val="00"/>
    <w:family w:val="swiss"/>
    <w:pitch w:val="variable"/>
    <w:sig w:usb0="61002A87" w:usb1="80000000" w:usb2="00000008" w:usb3="00000000" w:csb0="000101FF" w:csb1="00000000"/>
    <w:embedRegular r:id="rId4" w:fontKey="{4587E188-281C-4C05-A474-75E2B388FF5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46B7B08-CF37-4B67-87CE-70935304D6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2055</Characters>
  <Application>Microsoft Office Word</Application>
  <DocSecurity>0</DocSecurity>
  <Lines>17</Lines>
  <Paragraphs>4</Paragraphs>
  <ScaleCrop>false</ScaleCrop>
  <Company>Project Management</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2008-12-10T20:12:00Z</dcterms:created>
  <dcterms:modified xsi:type="dcterms:W3CDTF">2008-12-10T20:12:00Z</dcterms:modified>
</cp:coreProperties>
</file>