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046" w:rsidRDefault="00A50046">
      <w:pPr>
        <w:pStyle w:val="BillDots"/>
      </w:pPr>
      <w:r>
        <w:rPr>
          <w:strike/>
        </w:rPr>
        <w:t>Indicates Matter Stricken</w:t>
      </w:r>
    </w:p>
    <w:p w:rsidR="00A50046" w:rsidRPr="00A50046" w:rsidRDefault="00A50046">
      <w:pPr>
        <w:pStyle w:val="BillDots"/>
      </w:pPr>
      <w:r>
        <w:rPr>
          <w:u w:val="single"/>
        </w:rPr>
        <w:t>Indicates New Matter</w:t>
      </w:r>
    </w:p>
    <w:p w:rsidR="00A50046" w:rsidRDefault="00A50046">
      <w:pPr>
        <w:pStyle w:val="BillDots"/>
      </w:pPr>
    </w:p>
    <w:p w:rsidR="00A50046" w:rsidRDefault="00A50046">
      <w:pPr>
        <w:pStyle w:val="BillDots"/>
      </w:pPr>
      <w:r>
        <w:t>COMMITTEE REPORT</w:t>
      </w:r>
    </w:p>
    <w:p w:rsidR="00A50046" w:rsidRDefault="00A50046">
      <w:pPr>
        <w:pStyle w:val="BillDots"/>
      </w:pPr>
      <w:r>
        <w:t>March 24, 2010</w:t>
      </w:r>
    </w:p>
    <w:p w:rsidR="00A50046" w:rsidRDefault="00A50046">
      <w:pPr>
        <w:pStyle w:val="BillDots"/>
      </w:pPr>
    </w:p>
    <w:p w:rsidR="00A50046" w:rsidRPr="00A50046" w:rsidRDefault="00A50046" w:rsidP="00A50046">
      <w:pPr>
        <w:pStyle w:val="BillDots"/>
        <w:tabs>
          <w:tab w:val="clear" w:pos="216"/>
          <w:tab w:val="clear" w:pos="432"/>
          <w:tab w:val="clear" w:pos="648"/>
          <w:tab w:val="clear" w:pos="864"/>
          <w:tab w:val="clear" w:pos="1080"/>
          <w:tab w:val="clear" w:pos="1296"/>
          <w:tab w:val="clear" w:pos="5904"/>
          <w:tab w:val="right" w:pos="5933"/>
        </w:tabs>
      </w:pPr>
      <w:r>
        <w:tab/>
      </w:r>
      <w:r>
        <w:rPr>
          <w:b/>
          <w:sz w:val="36"/>
        </w:rPr>
        <w:t>S. 876</w:t>
      </w:r>
    </w:p>
    <w:p w:rsidR="00A50046" w:rsidRDefault="00A50046">
      <w:pPr>
        <w:pStyle w:val="BillDots"/>
      </w:pPr>
    </w:p>
    <w:p w:rsidR="00A50046" w:rsidRDefault="00A50046" w:rsidP="00A50046">
      <w:pPr>
        <w:pStyle w:val="BillDots"/>
        <w:jc w:val="center"/>
      </w:pPr>
      <w:r>
        <w:t>Introduced by Senator Alexander</w:t>
      </w:r>
    </w:p>
    <w:p w:rsidR="00A50046" w:rsidRDefault="00A50046">
      <w:pPr>
        <w:pStyle w:val="BillDots"/>
      </w:pPr>
    </w:p>
    <w:p w:rsidR="00A50046" w:rsidRDefault="00A50046">
      <w:pPr>
        <w:pStyle w:val="BillDots"/>
      </w:pPr>
      <w:r>
        <w:t>S. Printed 3/24/10--S.</w:t>
      </w:r>
    </w:p>
    <w:p w:rsidR="00A50046" w:rsidRDefault="00A50046">
      <w:pPr>
        <w:pStyle w:val="BillDots"/>
      </w:pPr>
      <w:r>
        <w:t>Read the first time May 21, 2009.</w:t>
      </w:r>
    </w:p>
    <w:p w:rsidR="00A50046" w:rsidRPr="00A50046" w:rsidRDefault="00A50046" w:rsidP="00A50046">
      <w:pPr>
        <w:pStyle w:val="BillDots"/>
        <w:jc w:val="center"/>
      </w:pPr>
      <w:r>
        <w:rPr>
          <w:u w:val="single"/>
        </w:rPr>
        <w:t>            </w:t>
      </w:r>
    </w:p>
    <w:p w:rsidR="00A50046" w:rsidRDefault="00A50046">
      <w:pPr>
        <w:pStyle w:val="BillDots"/>
      </w:pPr>
    </w:p>
    <w:p w:rsidR="00A50046" w:rsidRPr="00A50046" w:rsidRDefault="00A50046" w:rsidP="00A50046">
      <w:pPr>
        <w:pStyle w:val="BillDots"/>
        <w:jc w:val="center"/>
      </w:pPr>
      <w:r>
        <w:rPr>
          <w:b/>
        </w:rPr>
        <w:t>THE COMMITTEE ON FINANCE</w:t>
      </w:r>
    </w:p>
    <w:p w:rsidR="00A50046" w:rsidRDefault="00A50046">
      <w:pPr>
        <w:pStyle w:val="BillDots"/>
      </w:pPr>
      <w:r>
        <w:tab/>
        <w:t>To whom was referred a Bill (S. 876) to amend the Code of Laws of South Carolina, 1976, by adding Section 12</w:t>
      </w:r>
      <w:r>
        <w:noBreakHyphen/>
        <w:t>45</w:t>
      </w:r>
      <w:r>
        <w:noBreakHyphen/>
        <w:t>17 so as to provide minimum continuing education course requirements for county tax collectors, etc., respectfully</w:t>
      </w:r>
    </w:p>
    <w:p w:rsidR="00A50046" w:rsidRPr="00A50046" w:rsidRDefault="00A50046" w:rsidP="00A50046">
      <w:pPr>
        <w:pStyle w:val="BillDots"/>
        <w:jc w:val="center"/>
      </w:pPr>
      <w:r>
        <w:rPr>
          <w:b/>
        </w:rPr>
        <w:t>REPORT:</w:t>
      </w:r>
    </w:p>
    <w:p w:rsidR="00A50046" w:rsidRDefault="00A50046">
      <w:pPr>
        <w:pStyle w:val="BillDots"/>
      </w:pPr>
      <w:r>
        <w:tab/>
        <w:t>That they have duly and carefully considered the same and recommend that the same do pass with amendment:</w:t>
      </w:r>
    </w:p>
    <w:p w:rsidR="00A50046" w:rsidRDefault="00A50046">
      <w:pPr>
        <w:pStyle w:val="BillDots"/>
      </w:pP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0728">
        <w:rPr>
          <w:snapToGrid w:val="0"/>
        </w:rPr>
        <w:tab/>
        <w:t>Amend the bill, as and if amended, by adding appropriately numbered SECTIONS to read:</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70728">
        <w:rPr>
          <w:snapToGrid w:val="0"/>
        </w:rPr>
        <w:t>/</w:t>
      </w:r>
      <w:r w:rsidRPr="00F70728">
        <w:rPr>
          <w:snapToGrid w:val="0"/>
        </w:rPr>
        <w:tab/>
        <w:t>SECTION</w:t>
      </w:r>
      <w:r w:rsidRPr="00F70728">
        <w:rPr>
          <w:snapToGrid w:val="0"/>
        </w:rPr>
        <w:tab/>
        <w:t>___.</w:t>
      </w:r>
      <w:r w:rsidRPr="00F70728">
        <w:rPr>
          <w:snapToGrid w:val="0"/>
        </w:rPr>
        <w:tab/>
        <w:t>Section 12</w:t>
      </w:r>
      <w:r w:rsidRPr="00F70728">
        <w:rPr>
          <w:snapToGrid w:val="0"/>
        </w:rPr>
        <w:noBreakHyphen/>
        <w:t>43</w:t>
      </w:r>
      <w:r w:rsidRPr="00F70728">
        <w:rPr>
          <w:snapToGrid w:val="0"/>
        </w:rPr>
        <w:noBreakHyphen/>
        <w:t>220(c)(2) of the 1976 Code is amended to read:</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70728">
        <w:rPr>
          <w:snapToGrid w:val="0"/>
        </w:rPr>
        <w:tab/>
        <w:t>“</w:t>
      </w:r>
      <w:r w:rsidRPr="00F70728">
        <w:t>(2)(i)</w:t>
      </w:r>
      <w:r w:rsidRPr="00F70728">
        <w:tab/>
        <w:t>To qualify for the special property tax assessment ratio allowed by this item, the owner</w:t>
      </w:r>
      <w:r w:rsidRPr="00F70728">
        <w:noBreakHyphen/>
        <w:t xml:space="preserve">occupant must have actually owned and occupied the residence as his legal residence and been domiciled at that address for some period during the applicable tax year.  </w:t>
      </w:r>
      <w:r w:rsidRPr="00F70728">
        <w:rPr>
          <w:u w:val="single"/>
        </w:rPr>
        <w:t>Additionally, the taxpayer must provide his social security number and the social security number of all members of his household.</w:t>
      </w:r>
      <w:r w:rsidRPr="00F70728">
        <w:t xml:space="preserve">  A residence which has been qualified as a legal residence for any part of the year is entitled to the four percent assessment ratio provided in this item for the entire year, for the exemption from property taxes levied for school operations pursuant to Section 12</w:t>
      </w:r>
      <w:r w:rsidRPr="00F70728">
        <w:noBreakHyphen/>
        <w:t>37</w:t>
      </w:r>
      <w:r w:rsidRPr="00F70728">
        <w:noBreakHyphen/>
        <w:t>251 for the entire year, and for the homestead exemption under Section 12</w:t>
      </w:r>
      <w:r w:rsidRPr="00F70728">
        <w:noBreakHyphen/>
        <w:t>37</w:t>
      </w:r>
      <w:r w:rsidRPr="00F70728">
        <w:noBreakHyphen/>
        <w:t xml:space="preserve">250, if otherwise eligible, for the entire year. </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r>
      <w:r w:rsidRPr="00F70728">
        <w:tab/>
      </w:r>
      <w:r w:rsidRPr="00F70728">
        <w:tab/>
        <w:t>(ii)</w:t>
      </w:r>
      <w:r w:rsidRPr="00F70728">
        <w:tab/>
        <w:t xml:space="preserve">This item does not apply unless the owner of the property or the owner’s agent applies for the four percent </w:t>
      </w:r>
      <w:r w:rsidRPr="00F70728">
        <w:lastRenderedPageBreak/>
        <w:t xml:space="preserve">assessment ratio before the first penalty date for the payment of taxes for the tax year for which the owner first claims eligibility for this assessment ratio.  In the application the owner or his agent must certify to the following statement: </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t xml:space="preserve">‘Under penalty of perjury I certify that: </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r>
      <w:r w:rsidRPr="00F70728">
        <w:tab/>
      </w:r>
      <w:r w:rsidRPr="00F70728">
        <w:tab/>
      </w:r>
      <w:r w:rsidRPr="00F70728">
        <w:tab/>
        <w:t>(A)</w:t>
      </w:r>
      <w:r w:rsidRPr="00F70728">
        <w:tab/>
        <w:t xml:space="preserve">the residence which is the subject of this application is my legal residence and where I am domiciled at the time of this application and that </w:t>
      </w:r>
      <w:r w:rsidRPr="00F70728">
        <w:rPr>
          <w:u w:val="single"/>
        </w:rPr>
        <w:t>neither</w:t>
      </w:r>
      <w:r w:rsidRPr="00F70728">
        <w:t xml:space="preserve"> I </w:t>
      </w:r>
      <w:r w:rsidRPr="00F70728">
        <w:rPr>
          <w:strike/>
        </w:rPr>
        <w:t>do not</w:t>
      </w:r>
      <w:r w:rsidRPr="00F70728">
        <w:t xml:space="preserve"> </w:t>
      </w:r>
      <w:r w:rsidRPr="00F70728">
        <w:rPr>
          <w:u w:val="single"/>
        </w:rPr>
        <w:t>nor my spouse</w:t>
      </w:r>
      <w:r w:rsidRPr="00F70728">
        <w:t xml:space="preserve"> claim to be a legal resident of a jurisdiction other than South Carolina for any purpose</w:t>
      </w:r>
      <w:r w:rsidRPr="00F70728">
        <w:rPr>
          <w:u w:val="single"/>
        </w:rPr>
        <w:t>, unless my spouse and I are separated</w:t>
      </w:r>
      <w:r w:rsidRPr="00F70728">
        <w:t xml:space="preserve">; and </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r>
      <w:r w:rsidRPr="00F70728">
        <w:tab/>
      </w:r>
      <w:r w:rsidRPr="00F70728">
        <w:tab/>
      </w:r>
      <w:r w:rsidRPr="00F70728">
        <w:tab/>
        <w:t>(B)</w:t>
      </w:r>
      <w:r w:rsidRPr="00F70728">
        <w:tab/>
        <w:t xml:space="preserve">that neither I nor any other member of my household is residing in or occupying any other residence which I or any member of my immediate family has qualified for the special assessment ratio allowed by this section.’ </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r>
      <w:r w:rsidRPr="00F70728">
        <w:tab/>
      </w:r>
      <w:r w:rsidRPr="00F70728">
        <w:tab/>
        <w:t>(iii)</w:t>
      </w:r>
      <w:r w:rsidRPr="00F70728">
        <w:tab/>
        <w:t xml:space="preserve">For purposes of subitem (ii)(B) of this item, ‘a member of my household’ means: </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r>
      <w:r w:rsidRPr="00F70728">
        <w:tab/>
      </w:r>
      <w:r w:rsidRPr="00F70728">
        <w:tab/>
      </w:r>
      <w:r w:rsidRPr="00F70728">
        <w:tab/>
        <w:t>(A)</w:t>
      </w:r>
      <w:r w:rsidRPr="00F70728">
        <w:tab/>
        <w:t>the owner</w:t>
      </w:r>
      <w:r w:rsidRPr="00F70728">
        <w:noBreakHyphen/>
        <w:t>occupant’s spouse, except when that spouse is legally separated from the owner</w:t>
      </w:r>
      <w:r w:rsidRPr="00F70728">
        <w:noBreakHyphen/>
        <w:t xml:space="preserve">occupant; and </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r>
      <w:r w:rsidRPr="00F70728">
        <w:tab/>
      </w:r>
      <w:r w:rsidRPr="00F70728">
        <w:tab/>
      </w:r>
      <w:r w:rsidRPr="00F70728">
        <w:tab/>
        <w:t>(B)</w:t>
      </w:r>
      <w:r w:rsidRPr="00F70728">
        <w:tab/>
        <w:t>any child under the age of eighteen years of the owner</w:t>
      </w:r>
      <w:r w:rsidRPr="00F70728">
        <w:noBreakHyphen/>
        <w:t>occupant claimed or eligible to be claimed as a dependent on the owner</w:t>
      </w:r>
      <w:r w:rsidRPr="00F70728">
        <w:noBreakHyphen/>
        <w:t>occupant’s federal income tax return.”</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0728">
        <w:t>SECTION</w:t>
      </w:r>
      <w:r w:rsidRPr="00F70728">
        <w:tab/>
        <w:t>___.</w:t>
      </w:r>
      <w:r w:rsidRPr="00F70728">
        <w:tab/>
        <w:t>Chapter 43, Title 12 of the 1976 Code is amended by adding:</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728">
        <w:tab/>
        <w:t>“Section 12</w:t>
      </w:r>
      <w:r w:rsidRPr="00F70728">
        <w:noBreakHyphen/>
        <w:t>43</w:t>
      </w:r>
      <w:r w:rsidRPr="00F70728">
        <w:noBreakHyphen/>
        <w:t>226.</w:t>
      </w:r>
      <w:r w:rsidRPr="00F70728">
        <w:tab/>
        <w:t>Notwithstanding any other provision of law, the county assessor may require a taxpayer to re</w:t>
      </w:r>
      <w:r w:rsidRPr="00F70728">
        <w:noBreakHyphen/>
        <w:t>qualify for the special four percent assessment ratio set forth in Section 12</w:t>
      </w:r>
      <w:r w:rsidRPr="00F70728">
        <w:noBreakHyphen/>
        <w:t>43</w:t>
      </w:r>
      <w:r w:rsidRPr="00F70728">
        <w:noBreakHyphen/>
        <w:t>220(c) for all or a portion of the parcels of real estate then receiving the special four percent assessment ratio.  However, no property owner may be required to re</w:t>
      </w:r>
      <w:r w:rsidRPr="00F70728">
        <w:noBreakHyphen/>
        <w:t>qualify more than once every three years.”</w:t>
      </w:r>
      <w:r w:rsidRPr="00F70728">
        <w:tab/>
      </w:r>
      <w:r w:rsidRPr="00F70728">
        <w:tab/>
      </w:r>
      <w:r w:rsidRPr="00F70728">
        <w:tab/>
      </w:r>
      <w:r w:rsidRPr="00F70728">
        <w:tab/>
        <w:t>/</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0728">
        <w:rPr>
          <w:snapToGrid w:val="0"/>
        </w:rPr>
        <w:tab/>
        <w:t>Renumber sections to conform.</w:t>
      </w:r>
    </w:p>
    <w:p w:rsidR="00A50046"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0728">
        <w:rPr>
          <w:snapToGrid w:val="0"/>
        </w:rPr>
        <w:tab/>
        <w:t>Amend title to conform.</w:t>
      </w:r>
    </w:p>
    <w:p w:rsidR="00A50046" w:rsidRPr="00F70728"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50046" w:rsidRDefault="00A50046">
      <w:pPr>
        <w:pStyle w:val="BillDots"/>
      </w:pPr>
      <w:r>
        <w:t>HUGH K. LEATHERMAN, SR. for Committee.</w:t>
      </w:r>
    </w:p>
    <w:p w:rsidR="00A50046" w:rsidRPr="00A50046" w:rsidRDefault="00A50046" w:rsidP="00A50046">
      <w:pPr>
        <w:pStyle w:val="BillDots"/>
        <w:jc w:val="center"/>
      </w:pPr>
      <w:r>
        <w:rPr>
          <w:u w:val="single"/>
        </w:rPr>
        <w:t>            </w:t>
      </w:r>
    </w:p>
    <w:p w:rsidR="00A50046" w:rsidRDefault="00A50046">
      <w:pPr>
        <w:pStyle w:val="BillDots"/>
      </w:pPr>
    </w:p>
    <w:p w:rsidR="00A50046" w:rsidRPr="00A50046" w:rsidRDefault="00A50046" w:rsidP="00A50046">
      <w:pPr>
        <w:pStyle w:val="BillDots"/>
        <w:jc w:val="center"/>
      </w:pPr>
      <w:r>
        <w:rPr>
          <w:b/>
          <w:u w:val="single"/>
        </w:rPr>
        <w:t>STATEMENT OF ESTIMATED FISCAL IMPACT</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6F7925">
        <w:rPr>
          <w:b/>
          <w:szCs w:val="22"/>
        </w:rPr>
        <w:t xml:space="preserve">REVENUE IMPACT </w:t>
      </w:r>
      <w:r w:rsidRPr="006F7925">
        <w:rPr>
          <w:b/>
          <w:szCs w:val="22"/>
          <w:vertAlign w:val="superscript"/>
        </w:rPr>
        <w:t>1/</w:t>
      </w:r>
    </w:p>
    <w:p w:rsidR="00A50046" w:rsidRPr="006F7925" w:rsidRDefault="00A50046" w:rsidP="00A5004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6F7925">
        <w:rPr>
          <w:rFonts w:ascii="Times New Roman" w:hAnsi="Times New Roman"/>
          <w:sz w:val="22"/>
          <w:szCs w:val="22"/>
        </w:rPr>
        <w:t xml:space="preserve">This bill is not expected to impact </w:t>
      </w:r>
      <w:r>
        <w:rPr>
          <w:rFonts w:ascii="Times New Roman" w:hAnsi="Times New Roman"/>
          <w:sz w:val="22"/>
          <w:szCs w:val="22"/>
        </w:rPr>
        <w:t>s</w:t>
      </w:r>
      <w:r w:rsidRPr="006F7925">
        <w:rPr>
          <w:rFonts w:ascii="Times New Roman" w:hAnsi="Times New Roman"/>
          <w:sz w:val="22"/>
          <w:szCs w:val="22"/>
        </w:rPr>
        <w:t xml:space="preserve">tate revenues.  The impact, if any on local revenues is expected to be less than $100,000 </w:t>
      </w:r>
      <w:r>
        <w:rPr>
          <w:rFonts w:ascii="Times New Roman" w:hAnsi="Times New Roman"/>
          <w:sz w:val="22"/>
          <w:szCs w:val="22"/>
        </w:rPr>
        <w:t>s</w:t>
      </w:r>
      <w:r w:rsidRPr="006F7925">
        <w:rPr>
          <w:rFonts w:ascii="Times New Roman" w:hAnsi="Times New Roman"/>
          <w:sz w:val="22"/>
          <w:szCs w:val="22"/>
        </w:rPr>
        <w:t>tatewide.</w:t>
      </w:r>
    </w:p>
    <w:p w:rsidR="00A50046" w:rsidRPr="006F7925" w:rsidRDefault="00A50046" w:rsidP="00A50046">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6F7925">
        <w:rPr>
          <w:rFonts w:ascii="Times New Roman" w:hAnsi="Times New Roman"/>
          <w:sz w:val="22"/>
          <w:szCs w:val="22"/>
        </w:rPr>
        <w:lastRenderedPageBreak/>
        <w:t>Explanation</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 xml:space="preserve">This bill makes administrative and procedural changes that codify or clarify what is common practice in most places across the State.  </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Section 1 provides for minimum continuing education requirements for county tax collectors.</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Section 2 allows a county forfeited land commission to refuse to accept title to property if the commission determines accepting the title would be against the interest of the public.</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 xml:space="preserve">Section 3 allows form 5051 issued by the Department of Motor Vehicles to substitute for the license plate and registration certificate when applying for a prorated property tax refund on a car when the owner moves out of </w:t>
      </w:r>
      <w:r>
        <w:rPr>
          <w:szCs w:val="22"/>
        </w:rPr>
        <w:t>s</w:t>
      </w:r>
      <w:r w:rsidRPr="006F7925">
        <w:rPr>
          <w:szCs w:val="22"/>
        </w:rPr>
        <w:t>tate.</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Section 4 provides a civil penalty of not less than one hundred nor more than one thousand dollars for failing to provide notice to the county assessor of ownership transfers of certain business real property for purposes of determining when to appraise real property.</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Section 5 pertains to duties of the county assessor when untaxed property is discovered for purposes of property taxation.</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 xml:space="preserve">Section 6 and 7 relate to delinquent tax sales and the sales dates.  Section 7 also changes the amount of damages for which a defaulting bidder can be liable from no more than three hundred dollars to no more than one thousand dollars.  </w:t>
      </w:r>
    </w:p>
    <w:p w:rsidR="00A50046" w:rsidRPr="006F7925" w:rsidRDefault="00A50046" w:rsidP="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7925">
        <w:rPr>
          <w:szCs w:val="22"/>
        </w:rPr>
        <w:t>Section 8 relates to the time limits for assessing delinquent taxes to conform to the language of the changes made to Section 12-39-220 in Section 5 of this bill.</w:t>
      </w:r>
    </w:p>
    <w:p w:rsidR="00A50046" w:rsidRDefault="00A50046">
      <w:pPr>
        <w:pStyle w:val="BillDots"/>
      </w:pPr>
    </w:p>
    <w:p w:rsidR="00A50046" w:rsidRDefault="00A50046" w:rsidP="00A5004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50046" w:rsidRDefault="00A50046" w:rsidP="00A5004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50046" w:rsidRPr="00A50046" w:rsidRDefault="00A50046" w:rsidP="00A5004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50046" w:rsidRDefault="00A50046">
      <w:pPr>
        <w:pStyle w:val="BillDots"/>
      </w:pPr>
    </w:p>
    <w:p w:rsidR="00A50046" w:rsidRDefault="00A50046">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50046" w:rsidRPr="00A50046" w:rsidRDefault="00A50046">
      <w:pPr>
        <w:pStyle w:val="BillDots"/>
        <w:sectPr w:rsidR="00A50046" w:rsidRPr="00A50046" w:rsidSect="00A500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278" w:rsidRDefault="00812278">
      <w:pPr>
        <w:pStyle w:val="BillDots"/>
      </w:pP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TO AMEND SECTION 12</w:t>
      </w:r>
      <w:r>
        <w:noBreakHyphen/>
        <w:t>37</w:t>
      </w:r>
      <w:r>
        <w:noBreakHyphen/>
        <w:t>2725,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37</w:t>
      </w:r>
      <w:r>
        <w:noBreakHyphen/>
        <w:t>3150, AS AMENDED, RELATING TO ASSESSABLE TRANSFERS OF INTEREST FOR PURPOSES OF DETERMINING THE VALUE OF REAL PROPERTY FOR PROPERTY TAXATION, SO AS TO PROVIDE A CIVIL PENALTY FOR FAILURE TO PROVIDE NOTICE TO THE ASSESSOR OF OWNERSHIP TRANSFERS OF CERTAIN BUSINESS REAL PROPERTY; TO AMEND SECTION 12</w:t>
      </w:r>
      <w:r>
        <w:noBreakHyphen/>
        <w:t>39</w:t>
      </w:r>
      <w:r>
        <w:noBreakHyphen/>
        <w:t>220, RELATING TO THE DISCOVERY OF UNTAXED PROPERTY FOR PURPOSES OF PROPERTY TAXES, SO AS TO PROVIDE THE DUTIES OF THE ASSESSOR WITH RESPECT TO THIS PROPERTY; TO AMEND SECTIONS 12</w:t>
      </w:r>
      <w:r>
        <w:noBreakHyphen/>
        <w:t>51</w:t>
      </w:r>
      <w:r>
        <w:noBreakHyphen/>
        <w:t>50, AS AMENDED, AND 12</w:t>
      </w:r>
      <w:r>
        <w:noBreakHyphen/>
        <w:t>51</w:t>
      </w:r>
      <w:r>
        <w:noBreakHyphen/>
        <w:t xml:space="preserve">70, RELATING TO DELINQUENT TAX SALES, SO AS TO PROVIDE FOR THE SALES DATE AND TO INCREASE FROM THREE HUNDRED TO ONE THOUSAND DOLLARS THE DAMAGES FOR WHICH A DEFAULTING BIDDER IS </w:t>
      </w:r>
      <w:r>
        <w:lastRenderedPageBreak/>
        <w:t>LIABLE; AND TO AMEND SECTION 12</w:t>
      </w:r>
      <w:r>
        <w:noBreakHyphen/>
        <w:t>54</w:t>
      </w:r>
      <w:r>
        <w:noBreakHyphen/>
        <w:t>85, AS AMENDED, RELATING TO THE TIME LIMITS APPLICABLE FOR ASSESSING DELINQUENT TAXES, SO AS TO MAKE A CONFORMING AMENDMENT.</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59, Title 12 of the 1976 Code is amended by adding:</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 of the 1976 Code is amended to read:</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w:t>
      </w:r>
      <w:r>
        <w:rPr>
          <w:rFonts w:eastAsiaTheme="minorHAnsi"/>
          <w:color w:val="000000" w:themeColor="text1"/>
          <w:szCs w:val="22"/>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t>
      </w:r>
      <w:r>
        <w:rPr>
          <w:rFonts w:eastAsiaTheme="minorHAnsi"/>
          <w:color w:val="000000" w:themeColor="text1"/>
          <w:szCs w:val="22"/>
          <w:u w:color="000000" w:themeColor="text1"/>
        </w:rPr>
        <w:lastRenderedPageBreak/>
        <w:t xml:space="preserve">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3150(A)(8) of the 1976 Code, as added by Act 57 of 2007, is amended to read:</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 a transfer of an ownership interest in a single transaction or as a part of a series of related transactions within a twenty</w:t>
      </w:r>
      <w:r>
        <w:rPr>
          <w:rFonts w:eastAsiaTheme="minorHAnsi"/>
          <w:color w:val="000000" w:themeColor="text1"/>
          <w:szCs w:val="22"/>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rFonts w:eastAsiaTheme="minorHAnsi"/>
          <w:color w:val="000000" w:themeColor="text1"/>
          <w:szCs w:val="22"/>
          <w:u w:color="000000" w:themeColor="text1"/>
        </w:rPr>
        <w:noBreakHyphen/>
        <w:t>five days after a conveyance of an ownership interest that constitutes an assessable transfer of interest or transfer of ownership under this item</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rFonts w:eastAsiaTheme="minorHAnsi"/>
          <w:color w:val="000000" w:themeColor="text1"/>
          <w:szCs w:val="22"/>
          <w:u w:color="000000" w:themeColor="text1"/>
        </w:rPr>
        <w:t>”</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 of the 1976 Code is amended to read:</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duly returned and appraised for taxation,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  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shall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w:t>
      </w:r>
      <w:r>
        <w:rPr>
          <w:rFonts w:eastAsiaTheme="minorHAnsi"/>
          <w:color w:val="000000" w:themeColor="text1"/>
          <w:szCs w:val="22"/>
          <w:u w:color="000000" w:themeColor="text1"/>
        </w:rPr>
        <w:lastRenderedPageBreak/>
        <w:t xml:space="preserve">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85(C) of the 1976 Code, as last amended by Act 116 of 2007, is further amended to read:</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Taxes may be determined and assessed after the thirty</w:t>
      </w:r>
      <w:r>
        <w:rPr>
          <w:rFonts w:eastAsiaTheme="minorHAnsi"/>
          <w:color w:val="000000" w:themeColor="text1"/>
          <w:szCs w:val="22"/>
          <w:u w:color="000000" w:themeColor="text1"/>
        </w:rPr>
        <w:noBreakHyphen/>
        <w:t xml:space="preserve">six month limitation if: </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Pr>
          <w:rFonts w:eastAsiaTheme="minorHAnsi"/>
          <w:color w:val="000000" w:themeColor="text1"/>
          <w:szCs w:val="22"/>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rFonts w:eastAsiaTheme="minorHAnsi"/>
          <w:color w:val="000000" w:themeColor="text1"/>
          <w:szCs w:val="22"/>
          <w:u w:color="000000" w:themeColor="text1"/>
        </w:rPr>
        <w:noBreakHyphen/>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Pr>
          <w:rFonts w:eastAsiaTheme="minorHAnsi"/>
          <w:color w:val="000000" w:themeColor="text1"/>
          <w:szCs w:val="22"/>
          <w:u w:val="single" w:color="000000" w:themeColor="text1"/>
        </w:rPr>
        <w:noBreakHyphen/>
        <w:t>39</w:t>
      </w:r>
      <w:r>
        <w:rPr>
          <w:rFonts w:eastAsiaTheme="minorHAnsi"/>
          <w:color w:val="000000" w:themeColor="text1"/>
          <w:szCs w:val="22"/>
          <w:u w:val="single" w:color="000000" w:themeColor="text1"/>
        </w:rPr>
        <w:noBreakHyphen/>
        <w:t xml:space="preserve">220.  In this case, the taxes may be assessed at any time </w:t>
      </w:r>
      <w:r>
        <w:rPr>
          <w:rFonts w:eastAsiaTheme="minorHAnsi"/>
          <w:color w:val="000000" w:themeColor="text1"/>
          <w:szCs w:val="22"/>
          <w:u w:val="single" w:color="000000" w:themeColor="text1"/>
        </w:rPr>
        <w:lastRenderedPageBreak/>
        <w:t>within the seventy</w:t>
      </w:r>
      <w:r>
        <w:rPr>
          <w:rFonts w:eastAsiaTheme="minorHAnsi"/>
          <w:color w:val="000000" w:themeColor="text1"/>
          <w:szCs w:val="22"/>
          <w:u w:val="single" w:color="000000" w:themeColor="text1"/>
        </w:rPr>
        <w:noBreakHyphen/>
        <w:t>two months from the date the taxes would have been due.</w:t>
      </w:r>
      <w:r>
        <w:rPr>
          <w:rFonts w:eastAsiaTheme="minorHAnsi"/>
          <w:color w:val="000000" w:themeColor="text1"/>
          <w:szCs w:val="22"/>
          <w:u w:color="000000" w:themeColor="text1"/>
        </w:rPr>
        <w:t>”</w:t>
      </w:r>
    </w:p>
    <w:p w:rsidR="00812278" w:rsidRDefault="0081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812278" w:rsidRDefault="00A50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278" w:rsidRDefault="00812278" w:rsidP="009E48F1">
      <w:pPr>
        <w:suppressAutoHyphens/>
      </w:pPr>
    </w:p>
    <w:sectPr w:rsidR="00812278" w:rsidSect="00A500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278" w:rsidRDefault="00A50046">
      <w:r>
        <w:separator/>
      </w:r>
    </w:p>
  </w:endnote>
  <w:endnote w:type="continuationSeparator" w:id="0">
    <w:p w:rsidR="00812278" w:rsidRDefault="00A500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86722D-FF2A-412E-B897-3AECE80B28B6}"/>
    <w:embedBold r:id="rId2" w:fontKey="{CB8E1B0F-3643-41DA-82E8-D5CBECCAE798}"/>
    <w:embedItalic r:id="rId3" w:fontKey="{331ED259-D8B8-477C-818D-04EE56A050CA}"/>
  </w:font>
  <w:font w:name="Calibri">
    <w:panose1 w:val="020F0502020204030204"/>
    <w:charset w:val="00"/>
    <w:family w:val="swiss"/>
    <w:pitch w:val="variable"/>
    <w:sig w:usb0="A00002EF" w:usb1="4000207B" w:usb2="00000000" w:usb3="00000000" w:csb0="0000009F" w:csb1="00000000"/>
    <w:embedRegular r:id="rId4" w:fontKey="{F471D43E-76C0-448B-8F09-55516FC1F36C}"/>
  </w:font>
  <w:font w:name="Arial">
    <w:panose1 w:val="020B0604020202020204"/>
    <w:charset w:val="00"/>
    <w:family w:val="swiss"/>
    <w:pitch w:val="variable"/>
    <w:sig w:usb0="20002A87" w:usb1="80000000" w:usb2="00000008" w:usb3="00000000" w:csb0="000001FF" w:csb1="00000000"/>
    <w:embedRegular r:id="rId5" w:fontKey="{1BEA251D-54D8-4972-B1BC-48F2DED27FD9}"/>
    <w:embedBold r:id="rId6" w:fontKey="{4C411955-4F7A-43EF-86C4-1C9CD5DA17BD}"/>
  </w:font>
  <w:font w:name="Cambria">
    <w:panose1 w:val="02040503050406030204"/>
    <w:charset w:val="00"/>
    <w:family w:val="roman"/>
    <w:pitch w:val="variable"/>
    <w:sig w:usb0="A00002EF" w:usb1="4000004B" w:usb2="00000000" w:usb3="00000000" w:csb0="0000009F" w:csb1="00000000"/>
    <w:embedRegular r:id="rId7" w:fontKey="{3471E0FE-C31F-4615-B6B7-AF638357C0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278" w:rsidRDefault="00A50046">
    <w:pPr>
      <w:pStyle w:val="Footer"/>
      <w:tabs>
        <w:tab w:val="clear" w:pos="4680"/>
        <w:tab w:val="clear" w:pos="9360"/>
        <w:tab w:val="center" w:pos="2995"/>
      </w:tabs>
      <w:spacing w:before="120"/>
    </w:pPr>
    <w:r>
      <w:t>[876-</w:t>
    </w:r>
    <w:fldSimple w:instr=" PAGE  \* MERGEFORMAT ">
      <w:r w:rsidR="009E48F1">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046" w:rsidRDefault="00A50046">
    <w:pPr>
      <w:pStyle w:val="Footer"/>
      <w:tabs>
        <w:tab w:val="clear" w:pos="4680"/>
        <w:tab w:val="clear" w:pos="9360"/>
        <w:tab w:val="center" w:pos="2995"/>
      </w:tabs>
      <w:spacing w:before="120"/>
    </w:pPr>
    <w:r>
      <w:t>[876]</w:t>
    </w:r>
    <w:r>
      <w:tab/>
    </w:r>
    <w:fldSimple w:instr=" PAGE  \* MERGEFORMAT ">
      <w:r w:rsidR="009E48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278" w:rsidRDefault="00A50046">
      <w:r>
        <w:separator/>
      </w:r>
    </w:p>
  </w:footnote>
  <w:footnote w:type="continuationSeparator" w:id="0">
    <w:p w:rsidR="00812278" w:rsidRDefault="00A500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16HTC09"/>
    <w:docVar w:name="CoverBillType" w:val="b"/>
    <w:docVar w:name="docpath" w:val="L:\Council\bills\BBM\9416HTC09.DOCX"/>
    <w:docVar w:name="dvBillNumber" w:val="876"/>
    <w:docVar w:name="dvBillNumberPrefix" w:val="S. "/>
    <w:docVar w:name="dvOriginalBody" w:val="Senate"/>
    <w:docVar w:name="dvSteno" w:val="BBM"/>
    <w:docVar w:name="NameofBody" w:val="s"/>
    <w:docVar w:name="vgroup2" w:val="Council"/>
  </w:docVars>
  <w:rsids>
    <w:rsidRoot w:val="00812278"/>
    <w:rsid w:val="001E3CF1"/>
    <w:rsid w:val="0058551E"/>
    <w:rsid w:val="00812278"/>
    <w:rsid w:val="009E48F1"/>
    <w:rsid w:val="00A500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2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278"/>
    <w:pPr>
      <w:keepNext/>
      <w:suppressAutoHyphens/>
      <w:jc w:val="center"/>
      <w:outlineLvl w:val="0"/>
    </w:pPr>
    <w:rPr>
      <w:b/>
      <w:sz w:val="30"/>
    </w:rPr>
  </w:style>
  <w:style w:type="paragraph" w:styleId="Heading2">
    <w:name w:val="heading 2"/>
    <w:basedOn w:val="Normal"/>
    <w:next w:val="Normal"/>
    <w:link w:val="Heading2Char"/>
    <w:qFormat/>
    <w:rsid w:val="00A5004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278"/>
    <w:rPr>
      <w:rFonts w:eastAsia="Times New Roman" w:cs="Times New Roman"/>
      <w:b/>
      <w:sz w:val="30"/>
      <w:szCs w:val="20"/>
    </w:rPr>
  </w:style>
  <w:style w:type="paragraph" w:styleId="Header">
    <w:name w:val="header"/>
    <w:basedOn w:val="Normal"/>
    <w:link w:val="HeaderChar"/>
    <w:uiPriority w:val="99"/>
    <w:semiHidden/>
    <w:unhideWhenUsed/>
    <w:rsid w:val="00812278"/>
    <w:pPr>
      <w:tabs>
        <w:tab w:val="center" w:pos="4320"/>
        <w:tab w:val="right" w:pos="8640"/>
      </w:tabs>
    </w:pPr>
  </w:style>
  <w:style w:type="character" w:customStyle="1" w:styleId="HeaderChar">
    <w:name w:val="Header Char"/>
    <w:basedOn w:val="DefaultParagraphFont"/>
    <w:link w:val="Header"/>
    <w:uiPriority w:val="99"/>
    <w:semiHidden/>
    <w:rsid w:val="00812278"/>
    <w:rPr>
      <w:rFonts w:eastAsia="Times New Roman" w:cs="Times New Roman"/>
      <w:szCs w:val="20"/>
    </w:rPr>
  </w:style>
  <w:style w:type="paragraph" w:styleId="Footer">
    <w:name w:val="footer"/>
    <w:basedOn w:val="Normal"/>
    <w:link w:val="FooterChar"/>
    <w:uiPriority w:val="99"/>
    <w:unhideWhenUsed/>
    <w:rsid w:val="00812278"/>
    <w:pPr>
      <w:tabs>
        <w:tab w:val="center" w:pos="4680"/>
        <w:tab w:val="right" w:pos="9360"/>
      </w:tabs>
    </w:pPr>
  </w:style>
  <w:style w:type="character" w:customStyle="1" w:styleId="FooterChar">
    <w:name w:val="Footer Char"/>
    <w:basedOn w:val="DefaultParagraphFont"/>
    <w:link w:val="Footer"/>
    <w:uiPriority w:val="99"/>
    <w:rsid w:val="00812278"/>
    <w:rPr>
      <w:rFonts w:eastAsia="Times New Roman" w:cs="Times New Roman"/>
      <w:szCs w:val="20"/>
    </w:rPr>
  </w:style>
  <w:style w:type="character" w:styleId="PageNumber">
    <w:name w:val="page number"/>
    <w:basedOn w:val="DefaultParagraphFont"/>
    <w:uiPriority w:val="99"/>
    <w:semiHidden/>
    <w:unhideWhenUsed/>
    <w:rsid w:val="00812278"/>
  </w:style>
  <w:style w:type="character" w:styleId="LineNumber">
    <w:name w:val="line number"/>
    <w:basedOn w:val="DefaultParagraphFont"/>
    <w:uiPriority w:val="99"/>
    <w:semiHidden/>
    <w:unhideWhenUsed/>
    <w:rsid w:val="00812278"/>
  </w:style>
  <w:style w:type="paragraph" w:customStyle="1" w:styleId="BillDots">
    <w:name w:val="BillDots"/>
    <w:basedOn w:val="Normal"/>
    <w:autoRedefine/>
    <w:qFormat/>
    <w:rsid w:val="0081227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12278"/>
    <w:pPr>
      <w:tabs>
        <w:tab w:val="right" w:pos="5904"/>
      </w:tabs>
    </w:pPr>
  </w:style>
  <w:style w:type="character" w:customStyle="1" w:styleId="Heading2Char">
    <w:name w:val="Heading 2 Char"/>
    <w:basedOn w:val="DefaultParagraphFont"/>
    <w:link w:val="Heading2"/>
    <w:rsid w:val="00A50046"/>
    <w:rPr>
      <w:rFonts w:ascii="Arial" w:eastAsia="Times New Roman" w:hAnsi="Arial" w:cs="Times New Roman"/>
      <w:b/>
      <w:snapToGrid w:val="0"/>
      <w:sz w:val="24"/>
      <w:szCs w:val="20"/>
    </w:rPr>
  </w:style>
  <w:style w:type="paragraph" w:styleId="BodyText">
    <w:name w:val="Body Text"/>
    <w:basedOn w:val="Normal"/>
    <w:link w:val="BodyTextChar"/>
    <w:rsid w:val="00A50046"/>
    <w:pPr>
      <w:widowControl w:val="0"/>
    </w:pPr>
    <w:rPr>
      <w:rFonts w:ascii="Arial" w:hAnsi="Arial"/>
      <w:snapToGrid w:val="0"/>
      <w:sz w:val="24"/>
    </w:rPr>
  </w:style>
  <w:style w:type="character" w:customStyle="1" w:styleId="BodyTextChar">
    <w:name w:val="Body Text Char"/>
    <w:basedOn w:val="DefaultParagraphFont"/>
    <w:link w:val="BodyText"/>
    <w:rsid w:val="00A50046"/>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1E3C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7B6CC-2DCA-455D-BF65-42F475A6F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2670</Words>
  <Characters>13408</Characters>
  <Application>Microsoft Office Word</Application>
  <DocSecurity>0</DocSecurity>
  <Lines>343</Lines>
  <Paragraphs>86</Paragraphs>
  <ScaleCrop>false</ScaleCrop>
  <Company> </Company>
  <LinksUpToDate>false</LinksUpToDate>
  <CharactersWithSpaces>15992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2009-05-20T21:03:00Z</cp:lastPrinted>
  <dcterms:created xsi:type="dcterms:W3CDTF">2010-03-24T23:09:00Z</dcterms:created>
  <dcterms:modified xsi:type="dcterms:W3CDTF">2010-03-24T23:09:00Z</dcterms:modified>
</cp:coreProperties>
</file>