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4B3" w:rsidRDefault="004764B3" w:rsidP="004764B3">
      <w:pPr>
        <w:widowControl w:val="0"/>
        <w:jc w:val="center"/>
      </w:pPr>
      <w:bookmarkStart w:id="0" w:name="_GoBack"/>
      <w:bookmarkEnd w:id="0"/>
      <w:r w:rsidRPr="004764B3">
        <w:rPr>
          <w:b/>
        </w:rPr>
        <w:t>South Carolina General Assembly</w:t>
      </w:r>
    </w:p>
    <w:p w:rsidR="004764B3" w:rsidRDefault="004764B3" w:rsidP="004764B3">
      <w:pPr>
        <w:widowControl w:val="0"/>
        <w:jc w:val="center"/>
      </w:pPr>
      <w:r>
        <w:t>119th Session, 2011-2012</w:t>
      </w:r>
    </w:p>
    <w:p w:rsidR="004764B3" w:rsidRDefault="004764B3" w:rsidP="004764B3">
      <w:pPr>
        <w:widowControl w:val="0"/>
      </w:pPr>
    </w:p>
    <w:p w:rsidR="004764B3" w:rsidRDefault="004764B3" w:rsidP="004764B3">
      <w:pPr>
        <w:widowControl w:val="0"/>
        <w:rPr>
          <w:b/>
        </w:rPr>
      </w:pPr>
      <w:r w:rsidRPr="004764B3">
        <w:rPr>
          <w:b/>
        </w:rPr>
        <w:t>S.</w:t>
      </w:r>
      <w:r>
        <w:rPr>
          <w:b/>
        </w:rPr>
        <w:t xml:space="preserve"> </w:t>
      </w:r>
      <w:r w:rsidRPr="004764B3">
        <w:rPr>
          <w:b/>
        </w:rPr>
        <w:t>1317</w:t>
      </w:r>
    </w:p>
    <w:p w:rsidR="004764B3" w:rsidRDefault="004764B3" w:rsidP="004764B3">
      <w:pPr>
        <w:widowControl w:val="0"/>
        <w:rPr>
          <w:b/>
        </w:rPr>
      </w:pPr>
    </w:p>
    <w:p w:rsidR="004764B3" w:rsidRDefault="004764B3" w:rsidP="004764B3">
      <w:pPr>
        <w:widowControl w:val="0"/>
      </w:pPr>
      <w:r w:rsidRPr="004764B3">
        <w:rPr>
          <w:b/>
        </w:rPr>
        <w:t>STATUS INFORMATION</w:t>
      </w:r>
    </w:p>
    <w:p w:rsidR="004764B3" w:rsidRDefault="004764B3" w:rsidP="004764B3">
      <w:pPr>
        <w:widowControl w:val="0"/>
      </w:pPr>
    </w:p>
    <w:p w:rsidR="004764B3" w:rsidRDefault="004764B3" w:rsidP="004764B3">
      <w:pPr>
        <w:widowControl w:val="0"/>
      </w:pPr>
      <w:r>
        <w:t>General Bill</w:t>
      </w:r>
    </w:p>
    <w:p w:rsidR="004764B3" w:rsidRDefault="005F069A" w:rsidP="004764B3">
      <w:pPr>
        <w:widowControl w:val="0"/>
      </w:pPr>
      <w:r>
        <w:t>Sponsors: Senators Malloy, McConnell, Knotts, Anderson and Campsen</w:t>
      </w:r>
    </w:p>
    <w:p w:rsidR="004764B3" w:rsidRDefault="004764B3" w:rsidP="004764B3">
      <w:pPr>
        <w:widowControl w:val="0"/>
      </w:pPr>
      <w:r>
        <w:t>Document Path: l:\s-jud\bills\malloy\jud0172.jjg.docx</w:t>
      </w:r>
    </w:p>
    <w:p w:rsidR="00E63D9F" w:rsidRDefault="00E63D9F" w:rsidP="004764B3">
      <w:pPr>
        <w:widowControl w:val="0"/>
      </w:pPr>
      <w:r>
        <w:t>Companion/Similar bill(s): 4970</w:t>
      </w:r>
    </w:p>
    <w:p w:rsidR="004764B3" w:rsidRDefault="004764B3" w:rsidP="004764B3">
      <w:pPr>
        <w:widowControl w:val="0"/>
      </w:pPr>
    </w:p>
    <w:p w:rsidR="004764B3" w:rsidRDefault="004764B3" w:rsidP="004764B3">
      <w:pPr>
        <w:widowControl w:val="0"/>
      </w:pPr>
      <w:r>
        <w:t>Introduced in the Senate on March 7, 2012</w:t>
      </w:r>
    </w:p>
    <w:p w:rsidR="004764B3" w:rsidRDefault="004764B3" w:rsidP="004764B3">
      <w:pPr>
        <w:widowControl w:val="0"/>
      </w:pPr>
      <w:r>
        <w:t xml:space="preserve">Currently residing in the Senate Committee on </w:t>
      </w:r>
      <w:r w:rsidRPr="004764B3">
        <w:rPr>
          <w:b/>
        </w:rPr>
        <w:t>Judiciary</w:t>
      </w:r>
    </w:p>
    <w:p w:rsidR="004764B3" w:rsidRDefault="004764B3" w:rsidP="004764B3">
      <w:pPr>
        <w:widowControl w:val="0"/>
      </w:pPr>
    </w:p>
    <w:p w:rsidR="004764B3" w:rsidRDefault="004764B3" w:rsidP="004764B3">
      <w:pPr>
        <w:widowControl w:val="0"/>
      </w:pPr>
      <w:r>
        <w:t xml:space="preserve">Summary: </w:t>
      </w:r>
      <w:r w:rsidR="00033143">
        <w:t>Drug Court Program Act</w:t>
      </w:r>
    </w:p>
    <w:p w:rsidR="004764B3" w:rsidRDefault="004764B3" w:rsidP="004764B3">
      <w:pPr>
        <w:widowControl w:val="0"/>
      </w:pPr>
    </w:p>
    <w:p w:rsidR="004764B3" w:rsidRDefault="004764B3" w:rsidP="004764B3">
      <w:pPr>
        <w:widowControl w:val="0"/>
      </w:pPr>
    </w:p>
    <w:p w:rsidR="004764B3" w:rsidRDefault="004764B3" w:rsidP="004764B3">
      <w:pPr>
        <w:widowControl w:val="0"/>
        <w:tabs>
          <w:tab w:val="center" w:pos="590"/>
          <w:tab w:val="center" w:pos="1440"/>
          <w:tab w:val="left" w:pos="1872"/>
          <w:tab w:val="left" w:pos="9187"/>
        </w:tabs>
      </w:pPr>
      <w:r w:rsidRPr="004764B3">
        <w:rPr>
          <w:b/>
        </w:rPr>
        <w:t>HISTORY OF LEGISLATIVE ACTIONS</w:t>
      </w:r>
    </w:p>
    <w:p w:rsidR="004764B3" w:rsidRDefault="004764B3" w:rsidP="004764B3">
      <w:pPr>
        <w:widowControl w:val="0"/>
        <w:tabs>
          <w:tab w:val="center" w:pos="590"/>
          <w:tab w:val="center" w:pos="1440"/>
          <w:tab w:val="left" w:pos="1872"/>
          <w:tab w:val="left" w:pos="9187"/>
        </w:tabs>
      </w:pPr>
    </w:p>
    <w:p w:rsidR="004764B3" w:rsidRPr="004764B3" w:rsidRDefault="004764B3" w:rsidP="004764B3">
      <w:pPr>
        <w:widowControl w:val="0"/>
        <w:tabs>
          <w:tab w:val="center" w:pos="590"/>
          <w:tab w:val="center" w:pos="1440"/>
          <w:tab w:val="left" w:pos="1872"/>
          <w:tab w:val="left" w:pos="9187"/>
        </w:tabs>
      </w:pPr>
      <w:r w:rsidRPr="004764B3">
        <w:rPr>
          <w:u w:val="single"/>
        </w:rPr>
        <w:tab/>
        <w:t>Date</w:t>
      </w:r>
      <w:r w:rsidRPr="004764B3">
        <w:rPr>
          <w:u w:val="single"/>
        </w:rPr>
        <w:tab/>
        <w:t>Body</w:t>
      </w:r>
      <w:r w:rsidRPr="004764B3">
        <w:rPr>
          <w:u w:val="single"/>
        </w:rPr>
        <w:tab/>
        <w:t>Action Description with journal page number</w:t>
      </w:r>
      <w:r w:rsidRPr="004764B3">
        <w:rPr>
          <w:u w:val="single"/>
        </w:rPr>
        <w:tab/>
      </w:r>
    </w:p>
    <w:p w:rsidR="00BD4439" w:rsidRDefault="00BD4439" w:rsidP="00BD4439">
      <w:pPr>
        <w:widowControl w:val="0"/>
        <w:tabs>
          <w:tab w:val="right" w:pos="1008"/>
          <w:tab w:val="left" w:pos="1152"/>
          <w:tab w:val="left" w:pos="1872"/>
          <w:tab w:val="left" w:pos="9187"/>
        </w:tabs>
        <w:ind w:left="2088" w:hanging="2088"/>
      </w:pPr>
      <w:r>
        <w:tab/>
        <w:t>3/7/2012</w:t>
      </w:r>
      <w:r>
        <w:tab/>
        <w:t>Senate</w:t>
      </w:r>
      <w:r>
        <w:tab/>
      </w:r>
      <w:r w:rsidRPr="0021316B">
        <w:t>Introduced and read first time (</w:t>
      </w:r>
      <w:hyperlink r:id="rId6" w:history="1">
        <w:r w:rsidRPr="0021316B">
          <w:rPr>
            <w:rStyle w:val="Hyperlink"/>
          </w:rPr>
          <w:t>Senate Journal</w:t>
        </w:r>
        <w:r w:rsidRPr="0021316B">
          <w:rPr>
            <w:rStyle w:val="Hyperlink"/>
          </w:rPr>
          <w:noBreakHyphen/>
          <w:t>page 5</w:t>
        </w:r>
      </w:hyperlink>
      <w:r w:rsidRPr="0021316B">
        <w:t>)</w:t>
      </w:r>
    </w:p>
    <w:p w:rsidR="00BD4439" w:rsidRDefault="00BD4439" w:rsidP="00BD4439">
      <w:pPr>
        <w:widowControl w:val="0"/>
        <w:tabs>
          <w:tab w:val="right" w:pos="1008"/>
          <w:tab w:val="left" w:pos="1152"/>
          <w:tab w:val="left" w:pos="1872"/>
          <w:tab w:val="left" w:pos="9187"/>
        </w:tabs>
        <w:ind w:left="2088" w:hanging="2088"/>
      </w:pPr>
      <w:r>
        <w:tab/>
        <w:t>3/7/2012</w:t>
      </w:r>
      <w:r>
        <w:tab/>
        <w:t>Senate</w:t>
      </w:r>
      <w:r>
        <w:tab/>
      </w:r>
      <w:r w:rsidRPr="0021316B">
        <w:t>Ref</w:t>
      </w:r>
      <w:r>
        <w:t xml:space="preserve">erred to Committee on </w:t>
      </w:r>
      <w:r w:rsidRPr="0021316B">
        <w:rPr>
          <w:b/>
        </w:rPr>
        <w:t>Judiciary</w:t>
      </w:r>
      <w:r>
        <w:t xml:space="preserve"> </w:t>
      </w:r>
      <w:r w:rsidRPr="0021316B">
        <w:t>(</w:t>
      </w:r>
      <w:hyperlink r:id="rId7" w:history="1">
        <w:r w:rsidRPr="0021316B">
          <w:rPr>
            <w:rStyle w:val="Hyperlink"/>
          </w:rPr>
          <w:t>Senate Journal</w:t>
        </w:r>
        <w:r w:rsidRPr="0021316B">
          <w:rPr>
            <w:rStyle w:val="Hyperlink"/>
          </w:rPr>
          <w:noBreakHyphen/>
          <w:t>page 5</w:t>
        </w:r>
      </w:hyperlink>
      <w:r w:rsidRPr="0021316B">
        <w:t>)</w:t>
      </w:r>
    </w:p>
    <w:p w:rsidR="00BD4439" w:rsidRDefault="00BD4439" w:rsidP="00BD4439">
      <w:pPr>
        <w:widowControl w:val="0"/>
        <w:tabs>
          <w:tab w:val="right" w:pos="1008"/>
          <w:tab w:val="left" w:pos="1152"/>
          <w:tab w:val="left" w:pos="1872"/>
          <w:tab w:val="left" w:pos="9187"/>
        </w:tabs>
        <w:ind w:left="2088" w:hanging="2088"/>
      </w:pPr>
      <w:r>
        <w:tab/>
        <w:t>3/9/2012</w:t>
      </w:r>
      <w:r>
        <w:tab/>
        <w:t>Senate</w:t>
      </w:r>
      <w:r>
        <w:tab/>
      </w:r>
      <w:r w:rsidRPr="0021316B">
        <w:t>Referred to S</w:t>
      </w:r>
      <w:r>
        <w:t xml:space="preserve">ubcommittee: Malloy (ch), Ford, </w:t>
      </w:r>
      <w:r w:rsidRPr="0021316B">
        <w:t>Knotts, Campsen</w:t>
      </w:r>
    </w:p>
    <w:p w:rsidR="00BD4439" w:rsidRDefault="00BD4439" w:rsidP="00BD4439">
      <w:pPr>
        <w:widowControl w:val="0"/>
        <w:tabs>
          <w:tab w:val="right" w:pos="1008"/>
          <w:tab w:val="left" w:pos="1152"/>
          <w:tab w:val="left" w:pos="1872"/>
          <w:tab w:val="left" w:pos="9187"/>
        </w:tabs>
        <w:ind w:left="2088" w:hanging="2088"/>
      </w:pPr>
    </w:p>
    <w:p w:rsidR="004764B3" w:rsidRPr="004764B3" w:rsidRDefault="004764B3" w:rsidP="004764B3">
      <w:pPr>
        <w:widowControl w:val="0"/>
        <w:tabs>
          <w:tab w:val="right" w:pos="1008"/>
          <w:tab w:val="left" w:pos="1152"/>
          <w:tab w:val="left" w:pos="1872"/>
          <w:tab w:val="left" w:pos="9187"/>
        </w:tabs>
        <w:ind w:left="2088" w:hanging="2088"/>
      </w:pPr>
    </w:p>
    <w:p w:rsidR="004764B3" w:rsidRDefault="004764B3" w:rsidP="004764B3">
      <w:pPr>
        <w:widowControl w:val="0"/>
      </w:pPr>
      <w:r w:rsidRPr="004764B3">
        <w:rPr>
          <w:b/>
        </w:rPr>
        <w:t>VERSIONS OF THIS BILL</w:t>
      </w:r>
    </w:p>
    <w:p w:rsidR="004764B3" w:rsidRDefault="004764B3" w:rsidP="004764B3">
      <w:pPr>
        <w:widowControl w:val="0"/>
      </w:pPr>
    </w:p>
    <w:p w:rsidR="004764B3" w:rsidRDefault="004F24CD" w:rsidP="004764B3">
      <w:pPr>
        <w:widowControl w:val="0"/>
      </w:pPr>
      <w:hyperlink r:id="rId8" w:history="1">
        <w:r w:rsidR="004764B3">
          <w:rPr>
            <w:rStyle w:val="Hyperlink"/>
          </w:rPr>
          <w:t>3/7/2012</w:t>
        </w:r>
      </w:hyperlink>
    </w:p>
    <w:p w:rsidR="004764B3" w:rsidRDefault="004764B3" w:rsidP="004764B3"/>
    <w:p w:rsidR="004764B3" w:rsidRDefault="004764B3" w:rsidP="004764B3">
      <w:pPr>
        <w:sectPr w:rsidR="004764B3" w:rsidSect="004764B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6C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C2E67"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B035F">
        <w:rPr>
          <w:color w:val="000000" w:themeColor="text1"/>
          <w:u w:color="000000" w:themeColor="text1"/>
        </w:rPr>
        <w:t>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966C99" w:rsidRDefault="0096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6C99" w:rsidRDefault="0096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6C99" w:rsidRDefault="00966C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1.</w:t>
      </w:r>
      <w:r w:rsidRPr="00AC7858">
        <w:rPr>
          <w:color w:val="000000" w:themeColor="text1"/>
          <w:u w:color="000000" w:themeColor="text1"/>
        </w:rPr>
        <w:tab/>
        <w:t>The General Assembly recognizes that drug court programs have proved successful in dealing with substance abuse in the criminal and juvenile justice systems.  These programs allow circuit solicitors, within the exercise of their discretion, to permit consenting defendants to complete long</w:t>
      </w:r>
      <w:r w:rsidRPr="00AC7858">
        <w:rPr>
          <w:color w:val="000000" w:themeColor="text1"/>
          <w:u w:color="000000" w:themeColor="text1"/>
        </w:rPr>
        <w:noBreakHyphen/>
        <w:t xml:space="preserve">term, intensive treatment, closely monitored by </w:t>
      </w:r>
      <w:r w:rsidRPr="00AC7858">
        <w:rPr>
          <w:color w:val="000000" w:themeColor="text1"/>
          <w:u w:color="000000" w:themeColor="text1"/>
        </w:rPr>
        <w:lastRenderedPageBreak/>
        <w:t>frequent drug screenings and judicial oversight, as a condition of probation or as an alternative to traditional prosecution.  The purpose of this article is to set standards and procedures to facilitate the creation and continuation of these programs across the State, while leaving local jurisdictions the flexibility to tailor individual programs to local needs.</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2.</w:t>
      </w:r>
      <w:r w:rsidRPr="00AC7858">
        <w:rPr>
          <w:color w:val="000000" w:themeColor="text1"/>
          <w:u w:color="000000" w:themeColor="text1"/>
        </w:rPr>
        <w:tab/>
        <w:t>Chapter 22, Title 17 of the 1976 Code is amended by adding:</w:t>
      </w:r>
    </w:p>
    <w:p w:rsidR="009C2E67"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7858">
        <w:rPr>
          <w:color w:val="000000" w:themeColor="text1"/>
          <w:u w:color="000000" w:themeColor="text1"/>
        </w:rPr>
        <w:t>Article 13</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7858">
        <w:rPr>
          <w:color w:val="000000" w:themeColor="text1"/>
          <w:u w:color="000000" w:themeColor="text1"/>
        </w:rPr>
        <w:t>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1310.</w:t>
      </w:r>
      <w:r w:rsidRPr="00AC7858">
        <w:rPr>
          <w:color w:val="000000" w:themeColor="text1"/>
          <w:u w:color="000000" w:themeColor="text1"/>
        </w:rPr>
        <w:tab/>
        <w:t xml:space="preserve">This article may be cited as the ‘Drug Court Program Act’.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1320.</w:t>
      </w:r>
      <w:r w:rsidRPr="00AC7858">
        <w:rPr>
          <w:color w:val="000000" w:themeColor="text1"/>
          <w:u w:color="000000" w:themeColor="text1"/>
        </w:rPr>
        <w:tab/>
        <w:t>(A) Each circuit solicitor shall establish a drug court program in each respective circuit for adults and juveniles who commit nonviolent offenses.  Each circuit’s drug court program must have a presence in each county in the circuit.</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 circuit solicitors are specifically endowed with and retain all discretionary powers pursuant to the common law.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A drug court program must be based on the National Association of Drug Court Professionals’ key components and be under the direct supervision and control of the circuit solicitor; however, the circuit solicitor may contract for services with a county or municipality in the circuit and with appropriate service providers.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(D)</w:t>
      </w:r>
      <w:r w:rsidRPr="00AC7858">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1360.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1330.</w:t>
      </w:r>
      <w:r w:rsidRPr="00AC7858">
        <w:rPr>
          <w:color w:val="000000" w:themeColor="text1"/>
          <w:u w:color="000000" w:themeColor="text1"/>
        </w:rPr>
        <w:tab/>
        <w:t>(A)</w:t>
      </w:r>
      <w:r w:rsidRPr="00AC7858">
        <w:rPr>
          <w:color w:val="000000" w:themeColor="text1"/>
          <w:u w:color="000000" w:themeColor="text1"/>
        </w:rPr>
        <w:tab/>
        <w:t>A person may be considered for a drug court program if he:</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charged with a nonviolent offense</w:t>
      </w:r>
      <w:r w:rsidR="006A39F0">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pleads guilty or nolo contendere to, or is found guilty of, a nonviolent offense</w:t>
      </w:r>
      <w:r w:rsidR="006A39F0">
        <w:rPr>
          <w:color w:val="000000" w:themeColor="text1"/>
          <w:u w:color="000000" w:themeColor="text1"/>
        </w:rPr>
        <w:t>,</w:t>
      </w:r>
      <w:r w:rsidRPr="00AC7858">
        <w:rPr>
          <w:color w:val="000000" w:themeColor="text1"/>
          <w:u w:color="000000" w:themeColor="text1"/>
        </w:rPr>
        <w:t xml:space="preserve"> and the court, without entering a judgment of guilt and with the consent of the accused, defers further proceedings and orders participation in the drug court program; or</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A person may not be considered for a drug court program, if he: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is currently charged wi</w:t>
      </w:r>
      <w:r>
        <w:rPr>
          <w:color w:val="000000" w:themeColor="text1"/>
          <w:u w:color="000000" w:themeColor="text1"/>
        </w:rPr>
        <w:t>th a violent crime</w:t>
      </w:r>
      <w:r w:rsidRPr="00AC7858">
        <w:rPr>
          <w:color w:val="000000" w:themeColor="text1"/>
          <w:u w:color="000000" w:themeColor="text1"/>
        </w:rPr>
        <w:t xml:space="preserve"> as defined in Section 16</w:t>
      </w:r>
      <w:r w:rsidRPr="00AC7858">
        <w:rPr>
          <w:color w:val="000000" w:themeColor="text1"/>
          <w:u w:color="000000" w:themeColor="text1"/>
        </w:rPr>
        <w:noBreakHyphen/>
        <w:t>1</w:t>
      </w:r>
      <w:r w:rsidRPr="00AC7858">
        <w:rPr>
          <w:color w:val="000000" w:themeColor="text1"/>
          <w:u w:color="000000" w:themeColor="text1"/>
        </w:rPr>
        <w:noBreakHyphen/>
        <w:t>60, or a stalking offense pursuant to Article 17, Chapter 3, Title 16;</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has been released from incarceration in the previous five years for a violent crime, as defined in Section 16</w:t>
      </w:r>
      <w:r w:rsidRPr="00AC7858">
        <w:rPr>
          <w:color w:val="000000" w:themeColor="text1"/>
          <w:u w:color="000000" w:themeColor="text1"/>
        </w:rPr>
        <w:noBreakHyphen/>
        <w:t>1</w:t>
      </w:r>
      <w:r w:rsidRPr="00AC7858">
        <w:rPr>
          <w:color w:val="000000" w:themeColor="text1"/>
          <w:u w:color="000000" w:themeColor="text1"/>
        </w:rPr>
        <w:noBreakHyphen/>
        <w:t>60, or a harassment or stalking offense pursuant to Article 17, Chapter 3, Title 16;</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(4)</w:t>
      </w:r>
      <w:r w:rsidRPr="00AC7858">
        <w:rPr>
          <w:color w:val="000000" w:themeColor="text1"/>
          <w:u w:color="000000" w:themeColor="text1"/>
        </w:rPr>
        <w:tab/>
        <w:t>has previously participated in a 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 xml:space="preserve">Nothing in this section may be construed to confer upon a person a right to participate in a drug court program.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1340.</w:t>
      </w:r>
      <w:r w:rsidRPr="00AC7858">
        <w:rPr>
          <w:color w:val="000000" w:themeColor="text1"/>
          <w:u w:color="000000" w:themeColor="text1"/>
        </w:rPr>
        <w:tab/>
        <w:t>(A)</w:t>
      </w:r>
      <w:r w:rsidRPr="00AC7858">
        <w:rPr>
          <w:color w:val="000000" w:themeColor="text1"/>
          <w:u w:color="000000" w:themeColor="text1"/>
        </w:rPr>
        <w:tab/>
        <w:t>When a person who entered a drug court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1330(A)(1) or (2) successfully completes an adult drug court program and is subject to having the charge or charges dismissed, the circuit solicitor administering the program shall effect a noncriminal disposition, as defined in Section 17</w:t>
      </w:r>
      <w:r w:rsidRPr="00AC7858">
        <w:rPr>
          <w:color w:val="000000" w:themeColor="text1"/>
          <w:u w:color="000000" w:themeColor="text1"/>
        </w:rPr>
        <w:noBreakHyphen/>
        <w:t>22</w:t>
      </w:r>
      <w:r w:rsidRPr="00AC7858">
        <w:rPr>
          <w:color w:val="000000" w:themeColor="text1"/>
          <w:u w:color="000000" w:themeColor="text1"/>
        </w:rPr>
        <w:noBreakHyphen/>
        <w:t xml:space="preserve">20, of the nonviolent offense, and there must be no record maintained of the nonviolent offense except by the appropriate drug court program and the Commission on Prosecution Coordination in order to ensure that a person does not benefit from the provisions of this article more than once.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If applicable, the person may apply to the court for an order to destroy all official records relating to his arrest pursuant to the provisions of Section 17</w:t>
      </w:r>
      <w:r w:rsidRPr="00AC7858">
        <w:rPr>
          <w:color w:val="000000" w:themeColor="text1"/>
          <w:u w:color="000000" w:themeColor="text1"/>
        </w:rPr>
        <w:noBreakHyphen/>
        <w:t>1</w:t>
      </w:r>
      <w:r w:rsidRPr="00AC7858">
        <w:rPr>
          <w:color w:val="000000" w:themeColor="text1"/>
          <w:u w:color="000000" w:themeColor="text1"/>
        </w:rPr>
        <w:noBreakHyphen/>
        <w:t xml:space="preserve">40.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(1)</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 xml:space="preserve">1330(A)(1) must have the nonviolent offense reinstated by the circuit solicitor administering the program in the appropriate municipality or county;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(2)</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1330(A)(2) must have the deferral of proceedings lifted and sentencing imposed; or</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r>
      <w:r w:rsidRPr="00AC7858">
        <w:rPr>
          <w:color w:val="000000" w:themeColor="text1"/>
          <w:u w:color="000000" w:themeColor="text1"/>
        </w:rPr>
        <w:tab/>
        <w:t>(3)</w:t>
      </w:r>
      <w:r w:rsidRPr="00AC7858">
        <w:rPr>
          <w:color w:val="000000" w:themeColor="text1"/>
          <w:u w:color="000000" w:themeColor="text1"/>
        </w:rPr>
        <w:tab/>
        <w:t>a person who entered the program pursuant to Section 17</w:t>
      </w:r>
      <w:r w:rsidRPr="00AC7858">
        <w:rPr>
          <w:color w:val="000000" w:themeColor="text1"/>
          <w:u w:color="000000" w:themeColor="text1"/>
        </w:rPr>
        <w:noBreakHyphen/>
        <w:t>22</w:t>
      </w:r>
      <w:r w:rsidRPr="00AC7858">
        <w:rPr>
          <w:color w:val="000000" w:themeColor="text1"/>
          <w:u w:color="000000" w:themeColor="text1"/>
        </w:rPr>
        <w:noBreakHyphen/>
        <w:t>1330(A)(3) must have his failure to complete the program reported to the South Carolina Department of Probation, Parole and Pardon Services which may institute proceedings to revoke probation.</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1350.</w:t>
      </w:r>
      <w:r w:rsidRPr="00AC7858">
        <w:rPr>
          <w:color w:val="000000" w:themeColor="text1"/>
          <w:u w:color="000000" w:themeColor="text1"/>
        </w:rPr>
        <w:tab/>
        <w:t>(A)</w:t>
      </w:r>
      <w:r w:rsidRPr="00AC7858">
        <w:rPr>
          <w:color w:val="000000" w:themeColor="text1"/>
          <w:u w:color="000000" w:themeColor="text1"/>
        </w:rPr>
        <w:tab/>
        <w:t xml:space="preserve">Each circuit solicitor may establish an Office of Drug Court Program Coordinator whose responsibility is to assist in the establishment and maintenance of the drug court program.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 xml:space="preserve">There is established the Office of Statewide Drug Court Coordinator whose responsibility is to assist the circuit solicitor in each judicial circuit in establishing and maintaining a drug </w:t>
      </w:r>
      <w:r w:rsidR="006A39F0">
        <w:rPr>
          <w:color w:val="000000" w:themeColor="text1"/>
          <w:u w:color="000000" w:themeColor="text1"/>
        </w:rPr>
        <w:t>court program, to assist in developing and implementing</w:t>
      </w:r>
      <w:r w:rsidRPr="00AC7858">
        <w:rPr>
          <w:color w:val="000000" w:themeColor="text1"/>
          <w:u w:color="000000" w:themeColor="text1"/>
        </w:rPr>
        <w:t xml:space="preserve"> drug court standards, to assist in </w:t>
      </w:r>
      <w:r w:rsidR="006A39F0">
        <w:rPr>
          <w:color w:val="000000" w:themeColor="text1"/>
          <w:u w:color="000000" w:themeColor="text1"/>
        </w:rPr>
        <w:t>developing and conducting</w:t>
      </w:r>
      <w:r w:rsidRPr="00AC7858">
        <w:rPr>
          <w:color w:val="000000" w:themeColor="text1"/>
          <w:u w:color="000000" w:themeColor="text1"/>
        </w:rPr>
        <w:t xml:space="preserve"> training programs for the drug court and related personnel in the solicitors’ offices, and to develop evaluation procedures to ensure timely and accurate collection of data regarding the effectiveness of the respective drug courts.  The Office of Statewide Drug Court Coordinator must be within the South 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The Office of Statewide Drug Court Coordinator shall base standards, training, and assessment on the National Association of Drug Court Professionals’ key components.</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1360.</w:t>
      </w:r>
      <w:r w:rsidRPr="00AC7858">
        <w:rPr>
          <w:color w:val="000000" w:themeColor="text1"/>
          <w:u w:color="000000" w:themeColor="text1"/>
        </w:rPr>
        <w:tab/>
        <w:t>A person ordered to participate in a drug court program shall pay a one hundred fifty</w:t>
      </w:r>
      <w:r w:rsidRPr="00AC7858">
        <w:rPr>
          <w:color w:val="000000" w:themeColor="text1"/>
          <w:u w:color="000000" w:themeColor="text1"/>
        </w:rPr>
        <w:noBreakHyphen/>
        <w:t xml:space="preserve">dollar fee to enroll in a drug court program with the appropriate circuit solicitor’s office.  In the circuit solicitor’s discretion, the enrollment fee may be paid in installments.  The fee collected must be forwarded to the Commission on Prosecution Coordination for deposit into a designated drug court general fund for the administration of the drug court program as provided in this article.  The person also may be subject to additional fees payable to the provider of services including treatment, education, supervision, and any other services provided through the program.  However, participation in a drug court program may not be denied due to a person’s inability to pay these fees.  If a person is deemed unable to pay, the fees for enrollment, treatment, education, supervision, and other services may be waived or reduced. </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1370.</w:t>
      </w:r>
      <w:r w:rsidRPr="00AC7858">
        <w:rPr>
          <w:color w:val="000000" w:themeColor="text1"/>
          <w:u w:color="000000" w:themeColor="text1"/>
        </w:rPr>
        <w:tab/>
        <w:t>(A)</w:t>
      </w:r>
      <w:r w:rsidRPr="00AC7858">
        <w:rPr>
          <w:color w:val="000000" w:themeColor="text1"/>
          <w:u w:color="000000" w:themeColor="text1"/>
        </w:rPr>
        <w:tab/>
        <w:t>Each circuit solicitor’s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AC7858">
        <w:rPr>
          <w:color w:val="000000" w:themeColor="text1"/>
          <w:u w:color="000000" w:themeColor="text1"/>
        </w:rPr>
        <w:noBreakHyphen/>
        <w:t>based practices used in each program or treatment to identify offender risks and needs, and the specific interventions employed in each program or treatment to identify criminal risk factors and reduce recidivism.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1380.</w:t>
      </w:r>
      <w:r w:rsidRPr="00AC7858">
        <w:rPr>
          <w:color w:val="000000" w:themeColor="text1"/>
          <w:u w:color="000000" w:themeColor="text1"/>
        </w:rPr>
        <w:tab/>
        <w:t>Each circuit solicitor’s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Pr="00AC7858">
        <w:rPr>
          <w:color w:val="000000" w:themeColor="text1"/>
          <w:u w:color="000000" w:themeColor="text1"/>
        </w:rPr>
        <w:noBreakHyphen/>
        <w:t>22</w:t>
      </w:r>
      <w:r w:rsidRPr="00AC7858">
        <w:rPr>
          <w:color w:val="000000" w:themeColor="text1"/>
          <w:u w:color="000000" w:themeColor="text1"/>
        </w:rPr>
        <w:noBreakHyphen/>
        <w:t>1330(B)(4) and 17</w:t>
      </w:r>
      <w:r w:rsidRPr="00AC7858">
        <w:rPr>
          <w:color w:val="000000" w:themeColor="text1"/>
          <w:u w:color="000000" w:themeColor="text1"/>
        </w:rPr>
        <w:noBreakHyphen/>
        <w:t>22</w:t>
      </w:r>
      <w:r w:rsidRPr="00AC7858">
        <w:rPr>
          <w:color w:val="000000" w:themeColor="text1"/>
          <w:u w:color="000000" w:themeColor="text1"/>
        </w:rPr>
        <w:noBreakHyphen/>
        <w:t>1340(A).  The information c</w:t>
      </w:r>
      <w:r w:rsidR="006A39F0">
        <w:rPr>
          <w:color w:val="000000" w:themeColor="text1"/>
          <w:u w:color="000000" w:themeColor="text1"/>
        </w:rPr>
        <w:t xml:space="preserve">ollected by the commission </w:t>
      </w:r>
      <w:r w:rsidRPr="00AC7858">
        <w:rPr>
          <w:color w:val="000000" w:themeColor="text1"/>
          <w:u w:color="000000" w:themeColor="text1"/>
        </w:rPr>
        <w:t>may be released</w:t>
      </w:r>
      <w:r w:rsidR="006A39F0">
        <w:rPr>
          <w:color w:val="000000" w:themeColor="text1"/>
          <w:u w:color="000000" w:themeColor="text1"/>
        </w:rPr>
        <w:t xml:space="preserve"> only</w:t>
      </w:r>
      <w:r w:rsidRPr="00AC7858">
        <w:rPr>
          <w:color w:val="000000" w:themeColor="text1"/>
          <w:u w:color="000000" w:themeColor="text1"/>
        </w:rPr>
        <w:t xml:space="preserve"> to a circuit solicitor’s office administering the program for the purpose of determining eligibility for a drug court program.</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Section 17</w:t>
      </w:r>
      <w:r w:rsidRPr="00AC7858">
        <w:rPr>
          <w:color w:val="000000" w:themeColor="text1"/>
          <w:u w:color="000000" w:themeColor="text1"/>
        </w:rPr>
        <w:noBreakHyphen/>
        <w:t>22</w:t>
      </w:r>
      <w:r w:rsidRPr="00AC7858">
        <w:rPr>
          <w:color w:val="000000" w:themeColor="text1"/>
          <w:u w:color="000000" w:themeColor="text1"/>
        </w:rPr>
        <w:noBreakHyphen/>
        <w:t>1390.</w:t>
      </w:r>
      <w:r w:rsidRPr="00AC7858">
        <w:rPr>
          <w:color w:val="000000" w:themeColor="text1"/>
          <w:u w:color="000000" w:themeColor="text1"/>
        </w:rPr>
        <w:tab/>
        <w:t>(A)</w:t>
      </w:r>
      <w:r w:rsidRPr="00AC7858">
        <w:rPr>
          <w:color w:val="000000" w:themeColor="text1"/>
          <w:u w:color="000000" w:themeColor="text1"/>
        </w:rPr>
        <w:tab/>
        <w:t>The Chief Justice shall appoint all drug court judges who are subject to any limitations and directives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(B)</w:t>
      </w:r>
      <w:r w:rsidRPr="00AC7858">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ab/>
        <w:t>(C)</w:t>
      </w:r>
      <w:r w:rsidRPr="00AC7858">
        <w:rPr>
          <w:color w:val="000000" w:themeColor="text1"/>
          <w:u w:color="000000" w:themeColor="text1"/>
        </w:rPr>
        <w:tab/>
        <w:t>Drug court judges are entitled to the same protections from civil liability and immunities as judicial officers of the State.”</w:t>
      </w:r>
    </w:p>
    <w:p w:rsidR="009C2E67" w:rsidRPr="00AC7858"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9C2E67" w:rsidRDefault="009C2E67" w:rsidP="009C2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7858">
        <w:rPr>
          <w:color w:val="000000" w:themeColor="text1"/>
          <w:u w:color="000000" w:themeColor="text1"/>
        </w:rPr>
        <w:t>SECTION</w:t>
      </w:r>
      <w:r w:rsidRPr="00AC7858">
        <w:rPr>
          <w:color w:val="000000" w:themeColor="text1"/>
          <w:u w:color="000000" w:themeColor="text1"/>
        </w:rPr>
        <w:tab/>
        <w:t>3.</w:t>
      </w:r>
      <w:r w:rsidRPr="00AC7858">
        <w:rPr>
          <w:color w:val="000000" w:themeColor="text1"/>
          <w:u w:color="000000" w:themeColor="text1"/>
        </w:rPr>
        <w:tab/>
        <w:t xml:space="preserve"> This act takes effect on January 1, 2013.</w:t>
      </w:r>
    </w:p>
    <w:p w:rsidR="000A769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A769C" w:rsidRDefault="000A769C" w:rsidP="004764B3">
      <w:pPr>
        <w:suppressAutoHyphens/>
        <w:jc w:val="both"/>
        <w:rPr>
          <w:rFonts w:eastAsia="Times New Roman"/>
        </w:rPr>
      </w:pPr>
    </w:p>
    <w:sectPr w:rsidR="000A769C" w:rsidSect="004764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E67" w:rsidRDefault="009C2E67" w:rsidP="00522CE0">
      <w:r>
        <w:separator/>
      </w:r>
    </w:p>
  </w:endnote>
  <w:endnote w:type="continuationSeparator" w:id="0">
    <w:p w:rsidR="009C2E67" w:rsidRDefault="009C2E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9C671C-AD8C-420C-B400-F95FD4862918}"/>
    <w:embedBold r:id="rId2" w:fontKey="{FAB7F618-8F3D-4126-8B11-56EF1FC8108C}"/>
  </w:font>
  <w:font w:name="Calibri">
    <w:panose1 w:val="020F0502020204030204"/>
    <w:charset w:val="00"/>
    <w:family w:val="swiss"/>
    <w:pitch w:val="variable"/>
    <w:sig w:usb0="E10002FF" w:usb1="4000ACFF" w:usb2="00000009" w:usb3="00000000" w:csb0="0000019F" w:csb1="00000000"/>
    <w:embedRegular r:id="rId3" w:fontKey="{119FC761-0008-4370-8E05-14FEFFC54ADA}"/>
    <w:embedBold r:id="rId4" w:fontKey="{4C26BB9A-7359-49BE-A231-BD8E95EB2AD3}"/>
  </w:font>
  <w:font w:name="Cambria">
    <w:panose1 w:val="02040503050406030204"/>
    <w:charset w:val="00"/>
    <w:family w:val="roman"/>
    <w:pitch w:val="variable"/>
    <w:sig w:usb0="E00002FF" w:usb1="400004FF" w:usb2="00000000" w:usb3="00000000" w:csb0="0000019F" w:csb1="00000000"/>
    <w:embedRegular r:id="rId5" w:fontKey="{B6AD5853-FA24-4186-BCE3-2436513F6A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4B3" w:rsidRPr="000A769C" w:rsidRDefault="004764B3" w:rsidP="000A769C">
    <w:pPr>
      <w:pStyle w:val="Footer"/>
      <w:tabs>
        <w:tab w:val="clear" w:pos="4680"/>
        <w:tab w:val="clear" w:pos="9360"/>
        <w:tab w:val="center" w:pos="2995"/>
      </w:tabs>
      <w:spacing w:before="120"/>
    </w:pPr>
    <w:r>
      <w:t>[1317]</w:t>
    </w:r>
    <w:r>
      <w:tab/>
    </w:r>
    <w:r w:rsidR="004F24CD">
      <w:fldChar w:fldCharType="begin"/>
    </w:r>
    <w:r w:rsidR="004F24CD">
      <w:instrText xml:space="preserve"> PAGE  \* MERGEFORMAT </w:instrText>
    </w:r>
    <w:r w:rsidR="004F24CD">
      <w:fldChar w:fldCharType="separate"/>
    </w:r>
    <w:r w:rsidR="004F24CD">
      <w:rPr>
        <w:noProof/>
      </w:rPr>
      <w:t>1</w:t>
    </w:r>
    <w:r w:rsidR="004F24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E67" w:rsidRDefault="009C2E67" w:rsidP="00522CE0">
      <w:r>
        <w:separator/>
      </w:r>
    </w:p>
  </w:footnote>
  <w:footnote w:type="continuationSeparator" w:id="0">
    <w:p w:rsidR="009C2E67" w:rsidRDefault="009C2E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2"/>
  </w:compat>
  <w:docVars>
    <w:docVar w:name="clipname" w:val="JUD0172.JJG"/>
    <w:docVar w:name="CoverAttorneyInitials" w:val="JJG"/>
    <w:docVar w:name="CoverAttorneyLastName" w:val="Gentry"/>
    <w:docVar w:name="CoverBillType" w:val="b"/>
    <w:docVar w:name="DraftFileName" w:val="JUD0172.JJG.DOCX"/>
    <w:docVar w:name="DraftStenoName" w:val="Craft"/>
    <w:docVar w:name="dvBillNumber" w:val="1317"/>
    <w:docVar w:name="dvBillNumberPrefix" w:val="S. "/>
    <w:docVar w:name="dvOriginalBody" w:val="Senate"/>
    <w:docVar w:name="fulldraftpath" w:val="L:\S-JUD\BILLS\Malloy\JUD0172.JJG.DOCX"/>
    <w:docVar w:name="NameofBody" w:val="S"/>
    <w:docVar w:name="SenatorFolderName" w:val="Malloy"/>
    <w:docVar w:name="VGROUP2" w:val="S-JUD"/>
  </w:docVars>
  <w:rsids>
    <w:rsidRoot w:val="008B6D3E"/>
    <w:rsid w:val="000141EB"/>
    <w:rsid w:val="00033143"/>
    <w:rsid w:val="00042AC1"/>
    <w:rsid w:val="00046516"/>
    <w:rsid w:val="000A4D08"/>
    <w:rsid w:val="000A6988"/>
    <w:rsid w:val="000A769C"/>
    <w:rsid w:val="000B0720"/>
    <w:rsid w:val="000B4E4C"/>
    <w:rsid w:val="000B5EAF"/>
    <w:rsid w:val="000E473B"/>
    <w:rsid w:val="000F002B"/>
    <w:rsid w:val="00107C3D"/>
    <w:rsid w:val="00126995"/>
    <w:rsid w:val="00143AB2"/>
    <w:rsid w:val="00147C37"/>
    <w:rsid w:val="0016543B"/>
    <w:rsid w:val="00170561"/>
    <w:rsid w:val="00186AC9"/>
    <w:rsid w:val="00190F47"/>
    <w:rsid w:val="00197DF1"/>
    <w:rsid w:val="001B3DD9"/>
    <w:rsid w:val="001C23C9"/>
    <w:rsid w:val="001D3BAC"/>
    <w:rsid w:val="00206D3D"/>
    <w:rsid w:val="0024519E"/>
    <w:rsid w:val="00245C4E"/>
    <w:rsid w:val="0028354E"/>
    <w:rsid w:val="00294E38"/>
    <w:rsid w:val="002C5896"/>
    <w:rsid w:val="00307C2B"/>
    <w:rsid w:val="0031409E"/>
    <w:rsid w:val="00333DF1"/>
    <w:rsid w:val="0033541C"/>
    <w:rsid w:val="00364389"/>
    <w:rsid w:val="003B769D"/>
    <w:rsid w:val="003D6A5D"/>
    <w:rsid w:val="003D6E2B"/>
    <w:rsid w:val="003E7597"/>
    <w:rsid w:val="00412C9E"/>
    <w:rsid w:val="00450668"/>
    <w:rsid w:val="00452CD7"/>
    <w:rsid w:val="004764B3"/>
    <w:rsid w:val="00477696"/>
    <w:rsid w:val="004952FA"/>
    <w:rsid w:val="004A592F"/>
    <w:rsid w:val="004B6A22"/>
    <w:rsid w:val="004C2918"/>
    <w:rsid w:val="004D168C"/>
    <w:rsid w:val="004D6923"/>
    <w:rsid w:val="004D7F37"/>
    <w:rsid w:val="004E0673"/>
    <w:rsid w:val="004F24CD"/>
    <w:rsid w:val="0051584C"/>
    <w:rsid w:val="00520D79"/>
    <w:rsid w:val="00522CE0"/>
    <w:rsid w:val="00525DCD"/>
    <w:rsid w:val="00541FF6"/>
    <w:rsid w:val="00565148"/>
    <w:rsid w:val="00581497"/>
    <w:rsid w:val="00586B30"/>
    <w:rsid w:val="0058748C"/>
    <w:rsid w:val="00593361"/>
    <w:rsid w:val="005A5017"/>
    <w:rsid w:val="005A648C"/>
    <w:rsid w:val="005F069A"/>
    <w:rsid w:val="005F15E4"/>
    <w:rsid w:val="00606D23"/>
    <w:rsid w:val="0063696E"/>
    <w:rsid w:val="00641A16"/>
    <w:rsid w:val="006431BA"/>
    <w:rsid w:val="006A39F0"/>
    <w:rsid w:val="006B4B3C"/>
    <w:rsid w:val="006C74EA"/>
    <w:rsid w:val="006F2017"/>
    <w:rsid w:val="006F3B74"/>
    <w:rsid w:val="00720D40"/>
    <w:rsid w:val="007318D4"/>
    <w:rsid w:val="00743EA2"/>
    <w:rsid w:val="00746551"/>
    <w:rsid w:val="00765784"/>
    <w:rsid w:val="007A4390"/>
    <w:rsid w:val="007C65B0"/>
    <w:rsid w:val="007E3B8F"/>
    <w:rsid w:val="007E5CB7"/>
    <w:rsid w:val="0081031F"/>
    <w:rsid w:val="008314D2"/>
    <w:rsid w:val="008804AE"/>
    <w:rsid w:val="00894939"/>
    <w:rsid w:val="008B2F42"/>
    <w:rsid w:val="008B6D3E"/>
    <w:rsid w:val="008D16C3"/>
    <w:rsid w:val="008E185F"/>
    <w:rsid w:val="008E5870"/>
    <w:rsid w:val="008F023B"/>
    <w:rsid w:val="008F7524"/>
    <w:rsid w:val="00904E16"/>
    <w:rsid w:val="00927C62"/>
    <w:rsid w:val="00931A96"/>
    <w:rsid w:val="00966C99"/>
    <w:rsid w:val="00983951"/>
    <w:rsid w:val="00984124"/>
    <w:rsid w:val="00984640"/>
    <w:rsid w:val="00995C37"/>
    <w:rsid w:val="009C118A"/>
    <w:rsid w:val="009C2E67"/>
    <w:rsid w:val="00A02011"/>
    <w:rsid w:val="00A35165"/>
    <w:rsid w:val="00A4011E"/>
    <w:rsid w:val="00A623B5"/>
    <w:rsid w:val="00A86015"/>
    <w:rsid w:val="00AB2E04"/>
    <w:rsid w:val="00AB6595"/>
    <w:rsid w:val="00AE59C8"/>
    <w:rsid w:val="00B030B6"/>
    <w:rsid w:val="00B10098"/>
    <w:rsid w:val="00B10E10"/>
    <w:rsid w:val="00B35389"/>
    <w:rsid w:val="00B450FF"/>
    <w:rsid w:val="00B75384"/>
    <w:rsid w:val="00B761A6"/>
    <w:rsid w:val="00B945C5"/>
    <w:rsid w:val="00BA20EA"/>
    <w:rsid w:val="00BC0A56"/>
    <w:rsid w:val="00BC532F"/>
    <w:rsid w:val="00BD4439"/>
    <w:rsid w:val="00C23348"/>
    <w:rsid w:val="00C6454A"/>
    <w:rsid w:val="00C74052"/>
    <w:rsid w:val="00CB187A"/>
    <w:rsid w:val="00CD7C71"/>
    <w:rsid w:val="00D1088B"/>
    <w:rsid w:val="00D156D2"/>
    <w:rsid w:val="00D77EC0"/>
    <w:rsid w:val="00D86943"/>
    <w:rsid w:val="00D9289D"/>
    <w:rsid w:val="00DA47B9"/>
    <w:rsid w:val="00E63D9F"/>
    <w:rsid w:val="00E677A1"/>
    <w:rsid w:val="00E91E2F"/>
    <w:rsid w:val="00EA3546"/>
    <w:rsid w:val="00EB1AAC"/>
    <w:rsid w:val="00EB47AE"/>
    <w:rsid w:val="00EC34E1"/>
    <w:rsid w:val="00ED0AE1"/>
    <w:rsid w:val="00F0234A"/>
    <w:rsid w:val="00F27BCF"/>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15:docId w15:val="{7FD7DF88-628E-4CCC-A3CA-5D4C65038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764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317_20120307.docx" TargetMode="External"/><Relationship Id="rId3" Type="http://schemas.openxmlformats.org/officeDocument/2006/relationships/webSettings" Target="webSettings.xml"/><Relationship Id="rId7" Type="http://schemas.openxmlformats.org/officeDocument/2006/relationships/hyperlink" Target="file:///h:\sj%20archive\2012\03-07-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07-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1865</Words>
  <Characters>10148</Characters>
  <Application>Microsoft Office Word</Application>
  <DocSecurity>4</DocSecurity>
  <Lines>259</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1317: Drug Court Program Act - South Carolina Legislature Online</dc:title>
  <dc:subject/>
  <dc:creator>SusanCraft</dc:creator>
  <cp:keywords/>
  <dc:description/>
  <cp:lastModifiedBy>N Cumfer</cp:lastModifiedBy>
  <cp:revision>2</cp:revision>
  <cp:lastPrinted>2012-03-06T14:03:00Z</cp:lastPrinted>
  <dcterms:created xsi:type="dcterms:W3CDTF">2014-11-21T21:15:00Z</dcterms:created>
  <dcterms:modified xsi:type="dcterms:W3CDTF">2014-11-21T21:15:00Z</dcterms:modified>
</cp:coreProperties>
</file>