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35C" w:rsidRDefault="00AA635C" w:rsidP="00AA635C">
      <w:pPr>
        <w:widowControl w:val="0"/>
        <w:jc w:val="center"/>
      </w:pPr>
      <w:bookmarkStart w:id="0" w:name="_GoBack"/>
      <w:bookmarkEnd w:id="0"/>
      <w:r w:rsidRPr="00AA635C">
        <w:rPr>
          <w:b/>
        </w:rPr>
        <w:t>South Carolina General Assembly</w:t>
      </w:r>
    </w:p>
    <w:p w:rsidR="00AA635C" w:rsidRDefault="00AA635C" w:rsidP="00AA635C">
      <w:pPr>
        <w:widowControl w:val="0"/>
        <w:jc w:val="center"/>
      </w:pPr>
      <w:r>
        <w:t>119th Session, 2011-2012</w:t>
      </w:r>
    </w:p>
    <w:p w:rsidR="00AA635C" w:rsidRDefault="00AA635C" w:rsidP="00AA635C">
      <w:pPr>
        <w:widowControl w:val="0"/>
      </w:pPr>
    </w:p>
    <w:p w:rsidR="00AA635C" w:rsidRDefault="00AA635C" w:rsidP="00AA635C">
      <w:pPr>
        <w:widowControl w:val="0"/>
        <w:rPr>
          <w:b/>
        </w:rPr>
      </w:pPr>
      <w:r w:rsidRPr="00AA635C">
        <w:rPr>
          <w:b/>
        </w:rPr>
        <w:t>S.</w:t>
      </w:r>
      <w:r>
        <w:rPr>
          <w:b/>
        </w:rPr>
        <w:t xml:space="preserve"> </w:t>
      </w:r>
      <w:r w:rsidRPr="00AA635C">
        <w:rPr>
          <w:b/>
        </w:rPr>
        <w:t>203</w:t>
      </w:r>
    </w:p>
    <w:p w:rsidR="00AA635C" w:rsidRDefault="00AA635C" w:rsidP="00AA635C">
      <w:pPr>
        <w:widowControl w:val="0"/>
        <w:rPr>
          <w:b/>
        </w:rPr>
      </w:pPr>
    </w:p>
    <w:p w:rsidR="00AA635C" w:rsidRDefault="00AA635C" w:rsidP="00AA635C">
      <w:pPr>
        <w:widowControl w:val="0"/>
      </w:pPr>
      <w:r w:rsidRPr="00AA635C">
        <w:rPr>
          <w:b/>
        </w:rPr>
        <w:t>STATUS INFORMATION</w:t>
      </w:r>
    </w:p>
    <w:p w:rsidR="00AA635C" w:rsidRDefault="00AA635C" w:rsidP="00AA635C">
      <w:pPr>
        <w:widowControl w:val="0"/>
      </w:pPr>
    </w:p>
    <w:p w:rsidR="00AA635C" w:rsidRDefault="00AA635C" w:rsidP="00AA635C">
      <w:pPr>
        <w:widowControl w:val="0"/>
      </w:pPr>
      <w:r>
        <w:t>General Bill</w:t>
      </w:r>
    </w:p>
    <w:p w:rsidR="00AA635C" w:rsidRDefault="00AA635C" w:rsidP="00AA635C">
      <w:pPr>
        <w:widowControl w:val="0"/>
      </w:pPr>
      <w:r>
        <w:t>Sponsors: Senators Campbell and Knotts</w:t>
      </w:r>
    </w:p>
    <w:p w:rsidR="00AA635C" w:rsidRDefault="00AA635C" w:rsidP="00AA635C">
      <w:pPr>
        <w:widowControl w:val="0"/>
      </w:pPr>
      <w:r>
        <w:t>Document Path: l:\s-res\pgc\001weap.ebd.pgc.docx</w:t>
      </w:r>
    </w:p>
    <w:p w:rsidR="00AA635C" w:rsidRDefault="00AA635C" w:rsidP="00AA635C">
      <w:pPr>
        <w:widowControl w:val="0"/>
      </w:pPr>
    </w:p>
    <w:p w:rsidR="00125C7B" w:rsidRDefault="00125C7B" w:rsidP="00AA635C">
      <w:pPr>
        <w:widowControl w:val="0"/>
      </w:pPr>
      <w:r>
        <w:t>Introduced in the Senate on January 11, 2011</w:t>
      </w:r>
    </w:p>
    <w:p w:rsidR="00125C7B" w:rsidRPr="00125C7B" w:rsidRDefault="00125C7B" w:rsidP="00AA635C">
      <w:pPr>
        <w:widowControl w:val="0"/>
      </w:pPr>
      <w:r>
        <w:t xml:space="preserve">Currently residing in the Senate Committee on </w:t>
      </w:r>
      <w:r w:rsidRPr="00125C7B">
        <w:rPr>
          <w:b/>
        </w:rPr>
        <w:t>Judiciary</w:t>
      </w:r>
    </w:p>
    <w:p w:rsidR="00125C7B" w:rsidRDefault="00125C7B" w:rsidP="00AA635C">
      <w:pPr>
        <w:widowControl w:val="0"/>
      </w:pPr>
    </w:p>
    <w:p w:rsidR="00AA635C" w:rsidRDefault="00AA635C" w:rsidP="00AA635C">
      <w:pPr>
        <w:widowControl w:val="0"/>
      </w:pPr>
      <w:r>
        <w:t xml:space="preserve">Summary: </w:t>
      </w:r>
      <w:r w:rsidR="003136F4">
        <w:t>Concealed weapons</w:t>
      </w:r>
    </w:p>
    <w:p w:rsidR="00AA635C" w:rsidRDefault="00AA635C" w:rsidP="00AA635C">
      <w:pPr>
        <w:widowControl w:val="0"/>
      </w:pPr>
    </w:p>
    <w:p w:rsidR="00AA635C" w:rsidRDefault="00AA635C" w:rsidP="00AA635C">
      <w:pPr>
        <w:widowControl w:val="0"/>
      </w:pPr>
    </w:p>
    <w:p w:rsidR="00AA635C" w:rsidRDefault="00AA635C" w:rsidP="00AA635C">
      <w:pPr>
        <w:widowControl w:val="0"/>
        <w:tabs>
          <w:tab w:val="center" w:pos="590"/>
          <w:tab w:val="center" w:pos="1440"/>
          <w:tab w:val="left" w:pos="1872"/>
          <w:tab w:val="left" w:pos="9187"/>
        </w:tabs>
      </w:pPr>
      <w:r w:rsidRPr="00AA635C">
        <w:rPr>
          <w:b/>
        </w:rPr>
        <w:t>HISTORY OF LEGISLATIVE ACTIONS</w:t>
      </w:r>
    </w:p>
    <w:p w:rsidR="00AA635C" w:rsidRDefault="00AA635C" w:rsidP="00AA635C">
      <w:pPr>
        <w:widowControl w:val="0"/>
        <w:tabs>
          <w:tab w:val="center" w:pos="590"/>
          <w:tab w:val="center" w:pos="1440"/>
          <w:tab w:val="left" w:pos="1872"/>
          <w:tab w:val="left" w:pos="9187"/>
        </w:tabs>
      </w:pPr>
    </w:p>
    <w:p w:rsidR="00AA635C" w:rsidRPr="00AA635C" w:rsidRDefault="00AA635C" w:rsidP="00AA635C">
      <w:pPr>
        <w:widowControl w:val="0"/>
        <w:tabs>
          <w:tab w:val="center" w:pos="590"/>
          <w:tab w:val="center" w:pos="1440"/>
          <w:tab w:val="left" w:pos="1872"/>
          <w:tab w:val="left" w:pos="9187"/>
        </w:tabs>
      </w:pPr>
      <w:r w:rsidRPr="00AA635C">
        <w:rPr>
          <w:u w:val="single"/>
        </w:rPr>
        <w:tab/>
        <w:t>Date</w:t>
      </w:r>
      <w:r w:rsidRPr="00AA635C">
        <w:rPr>
          <w:u w:val="single"/>
        </w:rPr>
        <w:tab/>
        <w:t>Body</w:t>
      </w:r>
      <w:r w:rsidRPr="00AA635C">
        <w:rPr>
          <w:u w:val="single"/>
        </w:rPr>
        <w:tab/>
        <w:t>Action Description with journal page number</w:t>
      </w:r>
      <w:r w:rsidRPr="00AA635C">
        <w:rPr>
          <w:u w:val="single"/>
        </w:rPr>
        <w:tab/>
      </w:r>
    </w:p>
    <w:p w:rsidR="00A71204" w:rsidRDefault="00A71204" w:rsidP="00A71204">
      <w:pPr>
        <w:widowControl w:val="0"/>
        <w:tabs>
          <w:tab w:val="right" w:pos="1008"/>
          <w:tab w:val="left" w:pos="1152"/>
          <w:tab w:val="left" w:pos="1872"/>
          <w:tab w:val="left" w:pos="9187"/>
        </w:tabs>
        <w:ind w:left="2088" w:hanging="2088"/>
      </w:pPr>
      <w:r>
        <w:tab/>
        <w:t>12/1/2010</w:t>
      </w:r>
      <w:r>
        <w:tab/>
        <w:t>Senate</w:t>
      </w:r>
      <w:r>
        <w:tab/>
      </w:r>
      <w:r w:rsidRPr="00B70B8D">
        <w:t>Prefiled</w:t>
      </w:r>
    </w:p>
    <w:p w:rsidR="00A71204" w:rsidRDefault="00A71204" w:rsidP="00A71204">
      <w:pPr>
        <w:widowControl w:val="0"/>
        <w:tabs>
          <w:tab w:val="right" w:pos="1008"/>
          <w:tab w:val="left" w:pos="1152"/>
          <w:tab w:val="left" w:pos="1872"/>
          <w:tab w:val="left" w:pos="9187"/>
        </w:tabs>
        <w:ind w:left="2088" w:hanging="2088"/>
      </w:pPr>
      <w:r>
        <w:tab/>
        <w:t>12/1/2010</w:t>
      </w:r>
      <w:r>
        <w:tab/>
        <w:t>Senate</w:t>
      </w:r>
      <w:r>
        <w:tab/>
      </w:r>
      <w:r w:rsidRPr="00B70B8D">
        <w:t xml:space="preserve">Referred to Committee on </w:t>
      </w:r>
      <w:r w:rsidRPr="00B70B8D">
        <w:rPr>
          <w:b/>
        </w:rPr>
        <w:t>Judiciary</w:t>
      </w:r>
    </w:p>
    <w:p w:rsidR="00A71204" w:rsidRDefault="00A71204" w:rsidP="00A71204">
      <w:pPr>
        <w:widowControl w:val="0"/>
        <w:tabs>
          <w:tab w:val="right" w:pos="1008"/>
          <w:tab w:val="left" w:pos="1152"/>
          <w:tab w:val="left" w:pos="1872"/>
          <w:tab w:val="left" w:pos="9187"/>
        </w:tabs>
        <w:ind w:left="2088" w:hanging="2088"/>
      </w:pPr>
      <w:r>
        <w:tab/>
        <w:t>1/11/2011</w:t>
      </w:r>
      <w:r>
        <w:tab/>
        <w:t>Senate</w:t>
      </w:r>
      <w:r>
        <w:tab/>
      </w:r>
      <w:r w:rsidRPr="00B70B8D">
        <w:t>Introduced and read first time (</w:t>
      </w:r>
      <w:hyperlink r:id="rId6" w:history="1">
        <w:r w:rsidRPr="00B70B8D">
          <w:rPr>
            <w:rStyle w:val="Hyperlink"/>
          </w:rPr>
          <w:t>Senate Journal</w:t>
        </w:r>
        <w:r w:rsidRPr="00B70B8D">
          <w:rPr>
            <w:rStyle w:val="Hyperlink"/>
          </w:rPr>
          <w:noBreakHyphen/>
          <w:t>page 95</w:t>
        </w:r>
      </w:hyperlink>
      <w:r w:rsidRPr="00B70B8D">
        <w:t>)</w:t>
      </w:r>
    </w:p>
    <w:p w:rsidR="00A71204" w:rsidRDefault="00A71204" w:rsidP="00A71204">
      <w:pPr>
        <w:widowControl w:val="0"/>
        <w:tabs>
          <w:tab w:val="right" w:pos="1008"/>
          <w:tab w:val="left" w:pos="1152"/>
          <w:tab w:val="left" w:pos="1872"/>
          <w:tab w:val="left" w:pos="9187"/>
        </w:tabs>
        <w:ind w:left="2088" w:hanging="2088"/>
      </w:pPr>
      <w:r>
        <w:tab/>
        <w:t>1/11/2011</w:t>
      </w:r>
      <w:r>
        <w:tab/>
        <w:t>Senate</w:t>
      </w:r>
      <w:r>
        <w:tab/>
      </w:r>
      <w:r w:rsidRPr="00B70B8D">
        <w:t>Ref</w:t>
      </w:r>
      <w:r>
        <w:t xml:space="preserve">erred to Committee on </w:t>
      </w:r>
      <w:r w:rsidRPr="00B70B8D">
        <w:rPr>
          <w:b/>
        </w:rPr>
        <w:t>Judiciary</w:t>
      </w:r>
      <w:r>
        <w:t xml:space="preserve"> </w:t>
      </w:r>
      <w:r w:rsidRPr="00B70B8D">
        <w:t>(</w:t>
      </w:r>
      <w:hyperlink r:id="rId7" w:history="1">
        <w:r w:rsidRPr="00B70B8D">
          <w:rPr>
            <w:rStyle w:val="Hyperlink"/>
          </w:rPr>
          <w:t>Senate Journal</w:t>
        </w:r>
        <w:r w:rsidRPr="00B70B8D">
          <w:rPr>
            <w:rStyle w:val="Hyperlink"/>
          </w:rPr>
          <w:noBreakHyphen/>
          <w:t>page 95</w:t>
        </w:r>
      </w:hyperlink>
      <w:r w:rsidRPr="00B70B8D">
        <w:t>)</w:t>
      </w:r>
    </w:p>
    <w:p w:rsidR="00A71204" w:rsidRDefault="00A71204" w:rsidP="00A71204">
      <w:pPr>
        <w:widowControl w:val="0"/>
        <w:tabs>
          <w:tab w:val="right" w:pos="1008"/>
          <w:tab w:val="left" w:pos="1152"/>
          <w:tab w:val="left" w:pos="1872"/>
          <w:tab w:val="left" w:pos="9187"/>
        </w:tabs>
        <w:ind w:left="2088" w:hanging="2088"/>
      </w:pPr>
      <w:r>
        <w:tab/>
        <w:t>1/9/2012</w:t>
      </w:r>
      <w:r>
        <w:tab/>
        <w:t>Senate</w:t>
      </w:r>
      <w:r>
        <w:tab/>
      </w:r>
      <w:r w:rsidRPr="00B70B8D">
        <w:t>Referred to Subcommittee: Knotts (ch), Massey, Coleman</w:t>
      </w:r>
    </w:p>
    <w:p w:rsidR="00A71204" w:rsidRDefault="00A71204" w:rsidP="00A71204">
      <w:pPr>
        <w:widowControl w:val="0"/>
        <w:tabs>
          <w:tab w:val="right" w:pos="1008"/>
          <w:tab w:val="left" w:pos="1152"/>
          <w:tab w:val="left" w:pos="1872"/>
          <w:tab w:val="left" w:pos="9187"/>
        </w:tabs>
        <w:ind w:left="2088" w:hanging="2088"/>
      </w:pPr>
    </w:p>
    <w:p w:rsidR="00AA635C" w:rsidRPr="00AA635C" w:rsidRDefault="00AA635C" w:rsidP="00AA635C">
      <w:pPr>
        <w:widowControl w:val="0"/>
        <w:tabs>
          <w:tab w:val="right" w:pos="1008"/>
          <w:tab w:val="left" w:pos="1152"/>
          <w:tab w:val="left" w:pos="1872"/>
          <w:tab w:val="left" w:pos="9187"/>
        </w:tabs>
        <w:ind w:left="2088" w:hanging="2088"/>
      </w:pPr>
    </w:p>
    <w:p w:rsidR="00AA635C" w:rsidRDefault="00AA635C" w:rsidP="00AA635C">
      <w:pPr>
        <w:widowControl w:val="0"/>
      </w:pPr>
      <w:r w:rsidRPr="00AA635C">
        <w:rPr>
          <w:b/>
        </w:rPr>
        <w:t>VERSIONS OF THIS BILL</w:t>
      </w:r>
    </w:p>
    <w:p w:rsidR="00AA635C" w:rsidRDefault="00AA635C" w:rsidP="00AA635C">
      <w:pPr>
        <w:widowControl w:val="0"/>
      </w:pPr>
    </w:p>
    <w:p w:rsidR="00AA635C" w:rsidRDefault="0093610E" w:rsidP="00AA635C">
      <w:pPr>
        <w:widowControl w:val="0"/>
      </w:pPr>
      <w:hyperlink r:id="rId8" w:history="1">
        <w:r w:rsidR="00AA635C">
          <w:rPr>
            <w:rStyle w:val="Hyperlink"/>
          </w:rPr>
          <w:t>12/1/2010</w:t>
        </w:r>
      </w:hyperlink>
    </w:p>
    <w:p w:rsidR="00AA635C" w:rsidRDefault="00AA635C" w:rsidP="00AA635C"/>
    <w:p w:rsidR="00AA635C" w:rsidRDefault="00AA635C" w:rsidP="00AA635C">
      <w:pPr>
        <w:sectPr w:rsidR="00AA635C" w:rsidSect="00AA635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92A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07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w:t>
      </w:r>
      <w:r w:rsidR="00870D92">
        <w:rPr>
          <w:rFonts w:eastAsia="Times New Roman"/>
        </w:rPr>
        <w:noBreakHyphen/>
      </w:r>
      <w:r>
        <w:rPr>
          <w:rFonts w:eastAsia="Times New Roman"/>
        </w:rPr>
        <w:t>23</w:t>
      </w:r>
      <w:r w:rsidR="00870D92">
        <w:rPr>
          <w:rFonts w:eastAsia="Times New Roman"/>
        </w:rPr>
        <w:noBreakHyphen/>
      </w:r>
      <w:r>
        <w:rPr>
          <w:rFonts w:eastAsia="Times New Roman"/>
        </w:rPr>
        <w:t xml:space="preserve">460 OF THE 1976 CODE, RELATING TO CARRYING CONCEALED WEAPONS, TO PROVIDE THAT </w:t>
      </w:r>
      <w:r w:rsidR="00111E51">
        <w:rPr>
          <w:rFonts w:eastAsia="Times New Roman"/>
        </w:rPr>
        <w:t xml:space="preserve">THIS </w:t>
      </w:r>
      <w:r w:rsidR="00A87403">
        <w:rPr>
          <w:rFonts w:eastAsia="Times New Roman"/>
        </w:rPr>
        <w:t>SECTION SUPERSEDES AND PREEMP</w:t>
      </w:r>
      <w:r w:rsidR="00AB2E47">
        <w:rPr>
          <w:rFonts w:eastAsia="Times New Roman"/>
        </w:rPr>
        <w:t xml:space="preserve">TS ANY ORDINANCE THAT RESTRICTS </w:t>
      </w:r>
      <w:r w:rsidR="005713DA">
        <w:rPr>
          <w:rFonts w:eastAsia="Times New Roman"/>
        </w:rPr>
        <w:t>CARRYING CONCEALABLE WEAPONS</w:t>
      </w:r>
      <w:r w:rsidR="00A87403">
        <w:rPr>
          <w:rFonts w:eastAsia="Times New Roman"/>
        </w:rPr>
        <w:t>.</w:t>
      </w:r>
    </w:p>
    <w:p w:rsidR="00592AA7" w:rsidRDefault="00592A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Be it enacted by the General Assembly of the State of South Carolina:</w:t>
      </w: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SECTION</w:t>
      </w:r>
      <w:r w:rsidRPr="008B1837">
        <w:rPr>
          <w:color w:val="000000" w:themeColor="text1"/>
          <w:u w:color="000000" w:themeColor="text1"/>
        </w:rPr>
        <w:tab/>
        <w:t>1.</w:t>
      </w:r>
      <w:r w:rsidRPr="008B1837">
        <w:rPr>
          <w:color w:val="000000" w:themeColor="text1"/>
          <w:u w:color="000000" w:themeColor="text1"/>
        </w:rPr>
        <w:tab/>
        <w:t>Section 16</w:t>
      </w:r>
      <w:r w:rsidR="00870D92">
        <w:rPr>
          <w:color w:val="000000" w:themeColor="text1"/>
          <w:u w:color="000000" w:themeColor="text1"/>
        </w:rPr>
        <w:noBreakHyphen/>
      </w:r>
      <w:r w:rsidRPr="008B1837">
        <w:rPr>
          <w:color w:val="000000" w:themeColor="text1"/>
          <w:u w:color="000000" w:themeColor="text1"/>
        </w:rPr>
        <w:t>23</w:t>
      </w:r>
      <w:r w:rsidR="00870D92">
        <w:rPr>
          <w:color w:val="000000" w:themeColor="text1"/>
          <w:u w:color="000000" w:themeColor="text1"/>
        </w:rPr>
        <w:noBreakHyphen/>
      </w:r>
      <w:r w:rsidRPr="008B1837">
        <w:rPr>
          <w:color w:val="000000" w:themeColor="text1"/>
          <w:u w:color="000000" w:themeColor="text1"/>
        </w:rPr>
        <w:t>460 of the 1976 Code is amended to read:</w:t>
      </w: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ab/>
        <w:t>“Section 16</w:t>
      </w:r>
      <w:r w:rsidR="00870D92">
        <w:rPr>
          <w:color w:val="000000" w:themeColor="text1"/>
          <w:u w:color="000000" w:themeColor="text1"/>
        </w:rPr>
        <w:noBreakHyphen/>
      </w:r>
      <w:r w:rsidRPr="008B1837">
        <w:rPr>
          <w:color w:val="000000" w:themeColor="text1"/>
          <w:u w:color="000000" w:themeColor="text1"/>
        </w:rPr>
        <w:t>23</w:t>
      </w:r>
      <w:r w:rsidR="00870D92">
        <w:rPr>
          <w:color w:val="000000" w:themeColor="text1"/>
          <w:u w:color="000000" w:themeColor="text1"/>
        </w:rPr>
        <w:noBreakHyphen/>
      </w:r>
      <w:r>
        <w:rPr>
          <w:color w:val="000000" w:themeColor="text1"/>
          <w:u w:color="000000" w:themeColor="text1"/>
        </w:rPr>
        <w:t>460.</w:t>
      </w:r>
      <w:r>
        <w:rPr>
          <w:color w:val="000000" w:themeColor="text1"/>
          <w:u w:color="000000" w:themeColor="text1"/>
        </w:rPr>
        <w:tab/>
        <w:t>(A)</w:t>
      </w:r>
      <w:r>
        <w:rPr>
          <w:color w:val="000000" w:themeColor="text1"/>
          <w:u w:color="000000" w:themeColor="text1"/>
        </w:rPr>
        <w:tab/>
      </w:r>
      <w:r w:rsidRPr="008B1837">
        <w:rPr>
          <w:color w:val="000000" w:themeColor="text1"/>
          <w:u w:color="000000" w:themeColor="text1"/>
        </w:rPr>
        <w:t xml:space="preserve">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 </w:t>
      </w: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ab/>
        <w:t>(B)</w:t>
      </w:r>
      <w:r>
        <w:rPr>
          <w:color w:val="000000" w:themeColor="text1"/>
          <w:u w:color="000000" w:themeColor="text1"/>
        </w:rPr>
        <w:tab/>
      </w:r>
      <w:r w:rsidRPr="008B1837">
        <w:rPr>
          <w:color w:val="000000" w:themeColor="text1"/>
          <w:u w:color="000000" w:themeColor="text1"/>
        </w:rPr>
        <w:t xml:space="preserve">The provisions of this section do not apply to: </w:t>
      </w: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ab/>
      </w:r>
      <w:r w:rsidRPr="008B1837">
        <w:rPr>
          <w:color w:val="000000" w:themeColor="text1"/>
          <w:u w:color="000000" w:themeColor="text1"/>
        </w:rPr>
        <w:tab/>
        <w:t>(1)</w:t>
      </w:r>
      <w:r>
        <w:rPr>
          <w:color w:val="000000" w:themeColor="text1"/>
          <w:u w:color="000000" w:themeColor="text1"/>
        </w:rPr>
        <w:tab/>
        <w:t>a</w:t>
      </w:r>
      <w:r w:rsidRPr="008B1837">
        <w:rPr>
          <w:color w:val="000000" w:themeColor="text1"/>
          <w:u w:color="000000" w:themeColor="text1"/>
        </w:rPr>
        <w:t xml:space="preserve"> person carrying a concealed weapon upon his own premises or pursuant to and in compliance with Article 4, Chapter 31 of Title 23; or </w:t>
      </w: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ab/>
      </w:r>
      <w:r w:rsidRPr="008B1837">
        <w:rPr>
          <w:color w:val="000000" w:themeColor="text1"/>
          <w:u w:color="000000" w:themeColor="text1"/>
        </w:rPr>
        <w:tab/>
        <w:t>(2)</w:t>
      </w:r>
      <w:r>
        <w:rPr>
          <w:color w:val="000000" w:themeColor="text1"/>
          <w:u w:color="000000" w:themeColor="text1"/>
        </w:rPr>
        <w:tab/>
      </w:r>
      <w:r w:rsidRPr="008B1837">
        <w:rPr>
          <w:color w:val="000000" w:themeColor="text1"/>
          <w:u w:color="000000" w:themeColor="text1"/>
        </w:rPr>
        <w:t xml:space="preserve">peace officers in the actual discharge of their duties. </w:t>
      </w: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ab/>
        <w:t>(C)</w:t>
      </w:r>
      <w:r>
        <w:rPr>
          <w:color w:val="000000" w:themeColor="text1"/>
          <w:u w:color="000000" w:themeColor="text1"/>
        </w:rPr>
        <w:tab/>
      </w:r>
      <w:r w:rsidRPr="008B1837">
        <w:rPr>
          <w:color w:val="000000" w:themeColor="text1"/>
          <w:u w:color="000000" w:themeColor="text1"/>
        </w:rPr>
        <w:t>The provisions of this section also do not apply to rifles, shotguns, dirks, slingshots, metal knuckles, knives, or razors unless they are used with the intent to commit a crime or in furtherance of a crime.</w:t>
      </w: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ab/>
      </w:r>
      <w:r w:rsidRPr="008B1837">
        <w:rPr>
          <w:color w:val="000000" w:themeColor="text1"/>
          <w:u w:val="single" w:color="000000" w:themeColor="text1"/>
        </w:rPr>
        <w:t>(D)</w:t>
      </w:r>
      <w:r w:rsidRPr="008B1837">
        <w:rPr>
          <w:color w:val="000000" w:themeColor="text1"/>
          <w:u w:color="000000" w:themeColor="text1"/>
        </w:rPr>
        <w:tab/>
      </w:r>
      <w:r w:rsidRPr="008B1837">
        <w:rPr>
          <w:color w:val="000000" w:themeColor="text1"/>
          <w:u w:val="single" w:color="000000" w:themeColor="text1"/>
        </w:rPr>
        <w:t>The governing body of a county, municipality, or other political subdivision shall not enact a provision restricting the carrying of a concealed weapon prohibited by subsection (A) or excluded from the application of this section by subsections (B) and (C)</w:t>
      </w:r>
      <w:r>
        <w:rPr>
          <w:color w:val="000000" w:themeColor="text1"/>
          <w:u w:val="single" w:color="000000" w:themeColor="text1"/>
        </w:rPr>
        <w:t xml:space="preserve">, </w:t>
      </w:r>
      <w:r w:rsidRPr="008B1837">
        <w:rPr>
          <w:color w:val="000000" w:themeColor="text1"/>
          <w:u w:val="single" w:color="000000" w:themeColor="text1"/>
        </w:rPr>
        <w:t>and any provision previously enacted is preempted and superseded and is of no force and effect.</w:t>
      </w:r>
      <w:r w:rsidRPr="008B1837">
        <w:rPr>
          <w:color w:val="000000" w:themeColor="text1"/>
          <w:u w:color="000000" w:themeColor="text1"/>
        </w:rPr>
        <w:t>”</w:t>
      </w:r>
      <w:r w:rsidRPr="008B1837">
        <w:rPr>
          <w:color w:val="000000" w:themeColor="text1"/>
          <w:u w:val="single" w:color="000000" w:themeColor="text1"/>
        </w:rPr>
        <w:t xml:space="preserve"> </w:t>
      </w: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506C" w:rsidRPr="008B1837" w:rsidRDefault="00E0506C" w:rsidP="00E0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837">
        <w:rPr>
          <w:color w:val="000000" w:themeColor="text1"/>
          <w:u w:color="000000" w:themeColor="text1"/>
        </w:rPr>
        <w:t>SECTION</w:t>
      </w:r>
      <w:r w:rsidRPr="008B1837">
        <w:rPr>
          <w:color w:val="000000" w:themeColor="text1"/>
          <w:u w:color="000000" w:themeColor="text1"/>
        </w:rPr>
        <w:tab/>
        <w:t>2.</w:t>
      </w:r>
      <w:r w:rsidRPr="008B1837">
        <w:rPr>
          <w:color w:val="000000" w:themeColor="text1"/>
          <w:u w:color="000000" w:themeColor="text1"/>
        </w:rPr>
        <w:tab/>
        <w:t>This act takes effect upon approval by the Governor.</w:t>
      </w:r>
    </w:p>
    <w:p w:rsidR="008F1179" w:rsidRDefault="00870D9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1179" w:rsidRDefault="008F1179" w:rsidP="00AA635C">
      <w:pPr>
        <w:suppressAutoHyphens/>
        <w:jc w:val="both"/>
        <w:rPr>
          <w:rFonts w:eastAsia="Times New Roman"/>
        </w:rPr>
      </w:pPr>
    </w:p>
    <w:sectPr w:rsidR="008F1179" w:rsidSect="00AA635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D9B" w:rsidRDefault="00064D9B" w:rsidP="00522CE0">
      <w:r>
        <w:separator/>
      </w:r>
    </w:p>
  </w:endnote>
  <w:endnote w:type="continuationSeparator" w:id="0">
    <w:p w:rsidR="00064D9B" w:rsidRDefault="00064D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445BB3-D1E0-414A-A29C-F73A95DE08A5}"/>
    <w:embedBold r:id="rId2" w:fontKey="{5BEF3555-3273-4B8E-92D2-CC917588AA32}"/>
  </w:font>
  <w:font w:name="Calibri">
    <w:panose1 w:val="020F0502020204030204"/>
    <w:charset w:val="00"/>
    <w:family w:val="swiss"/>
    <w:pitch w:val="variable"/>
    <w:sig w:usb0="E10002FF" w:usb1="4000ACFF" w:usb2="00000009" w:usb3="00000000" w:csb0="0000019F" w:csb1="00000000"/>
    <w:embedRegular r:id="rId3" w:fontKey="{3B143AB1-60DB-4603-8B9B-412E93A0ED23}"/>
    <w:embedBold r:id="rId4" w:fontKey="{572B024C-D061-48A2-8BD6-59C3871BCEC4}"/>
  </w:font>
  <w:font w:name="Tahoma">
    <w:panose1 w:val="020B0604030504040204"/>
    <w:charset w:val="00"/>
    <w:family w:val="swiss"/>
    <w:pitch w:val="variable"/>
    <w:sig w:usb0="21002A87" w:usb1="80000000" w:usb2="00000008" w:usb3="00000000" w:csb0="000101FF" w:csb1="00000000"/>
    <w:embedRegular r:id="rId5" w:fontKey="{4B1610B6-8940-44FF-AAFD-997E351E2508}"/>
  </w:font>
  <w:font w:name="Cambria">
    <w:panose1 w:val="02040503050406030204"/>
    <w:charset w:val="00"/>
    <w:family w:val="roman"/>
    <w:pitch w:val="variable"/>
    <w:sig w:usb0="E00002FF" w:usb1="400004FF" w:usb2="00000000" w:usb3="00000000" w:csb0="0000019F" w:csb1="00000000"/>
    <w:embedRegular r:id="rId6" w:fontKey="{E78279DF-5E19-4872-B08F-B4DD0020B8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35C" w:rsidRPr="008F1179" w:rsidRDefault="00AA635C" w:rsidP="008F1179">
    <w:pPr>
      <w:pStyle w:val="Footer"/>
      <w:tabs>
        <w:tab w:val="clear" w:pos="4680"/>
        <w:tab w:val="clear" w:pos="9360"/>
        <w:tab w:val="center" w:pos="2995"/>
      </w:tabs>
      <w:spacing w:before="120"/>
    </w:pPr>
    <w:r>
      <w:t>[203]</w:t>
    </w:r>
    <w:r>
      <w:tab/>
    </w:r>
    <w:r w:rsidR="0093610E">
      <w:fldChar w:fldCharType="begin"/>
    </w:r>
    <w:r w:rsidR="0093610E">
      <w:instrText xml:space="preserve"> PAGE  \* MERGEFORMAT </w:instrText>
    </w:r>
    <w:r w:rsidR="0093610E">
      <w:fldChar w:fldCharType="separate"/>
    </w:r>
    <w:r w:rsidR="0093610E">
      <w:rPr>
        <w:noProof/>
      </w:rPr>
      <w:t>1</w:t>
    </w:r>
    <w:r w:rsidR="009361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D9B" w:rsidRDefault="00064D9B" w:rsidP="00522CE0">
      <w:r>
        <w:separator/>
      </w:r>
    </w:p>
  </w:footnote>
  <w:footnote w:type="continuationSeparator" w:id="0">
    <w:p w:rsidR="00064D9B" w:rsidRDefault="00064D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1WEAP.EBD.PGC"/>
    <w:docVar w:name="CoverAttorneyInitials" w:val="EBD"/>
    <w:docVar w:name="CoverAttorneyLastName" w:val="Donaldson"/>
    <w:docVar w:name="CoverBillType" w:val="b"/>
    <w:docVar w:name="CoverSenator" w:val="PGC"/>
    <w:docVar w:name="dvBillNumber" w:val="203"/>
    <w:docVar w:name="dvBillNumberPrefix" w:val="S. "/>
    <w:docVar w:name="dvOriginalBody" w:val="Senate"/>
    <w:docVar w:name="fulldraftpath" w:val="L:\S-RES\PGC\001WEAP.EBD.PGC.DOCX"/>
    <w:docVar w:name="NameofBody" w:val="S"/>
    <w:docVar w:name="vgroup2" w:val="S-RES"/>
  </w:docVars>
  <w:rsids>
    <w:rsidRoot w:val="00122ABA"/>
    <w:rsid w:val="00042AC1"/>
    <w:rsid w:val="00046516"/>
    <w:rsid w:val="00064D9B"/>
    <w:rsid w:val="0007601D"/>
    <w:rsid w:val="000970EB"/>
    <w:rsid w:val="000A0F4E"/>
    <w:rsid w:val="000B0720"/>
    <w:rsid w:val="000B5EAF"/>
    <w:rsid w:val="000D0D9C"/>
    <w:rsid w:val="00111E51"/>
    <w:rsid w:val="00122ABA"/>
    <w:rsid w:val="00125C7B"/>
    <w:rsid w:val="00170561"/>
    <w:rsid w:val="00186AC9"/>
    <w:rsid w:val="00197DF1"/>
    <w:rsid w:val="001B3DD9"/>
    <w:rsid w:val="001B7E5D"/>
    <w:rsid w:val="001D3BAC"/>
    <w:rsid w:val="0022224B"/>
    <w:rsid w:val="00245C4E"/>
    <w:rsid w:val="00255722"/>
    <w:rsid w:val="002A2FFF"/>
    <w:rsid w:val="002C1321"/>
    <w:rsid w:val="002C5896"/>
    <w:rsid w:val="002D3BED"/>
    <w:rsid w:val="002E16A7"/>
    <w:rsid w:val="003075E9"/>
    <w:rsid w:val="00307C2B"/>
    <w:rsid w:val="003136F4"/>
    <w:rsid w:val="00383247"/>
    <w:rsid w:val="003D6E2B"/>
    <w:rsid w:val="003E7597"/>
    <w:rsid w:val="004122F3"/>
    <w:rsid w:val="00450668"/>
    <w:rsid w:val="004952FA"/>
    <w:rsid w:val="004A6318"/>
    <w:rsid w:val="004A6E5D"/>
    <w:rsid w:val="004B6A22"/>
    <w:rsid w:val="004D7F37"/>
    <w:rsid w:val="00522CE0"/>
    <w:rsid w:val="00523D34"/>
    <w:rsid w:val="00565148"/>
    <w:rsid w:val="005713DA"/>
    <w:rsid w:val="00592AA7"/>
    <w:rsid w:val="00593361"/>
    <w:rsid w:val="005A5017"/>
    <w:rsid w:val="005A648C"/>
    <w:rsid w:val="005F1745"/>
    <w:rsid w:val="00635F12"/>
    <w:rsid w:val="006B3D18"/>
    <w:rsid w:val="006C74EA"/>
    <w:rsid w:val="006E5CEA"/>
    <w:rsid w:val="00700516"/>
    <w:rsid w:val="00720D40"/>
    <w:rsid w:val="007318D4"/>
    <w:rsid w:val="00765784"/>
    <w:rsid w:val="007A09D3"/>
    <w:rsid w:val="007A4390"/>
    <w:rsid w:val="007E5CB7"/>
    <w:rsid w:val="008103AF"/>
    <w:rsid w:val="008314D2"/>
    <w:rsid w:val="00870D92"/>
    <w:rsid w:val="00891EA5"/>
    <w:rsid w:val="008B2F42"/>
    <w:rsid w:val="008E185F"/>
    <w:rsid w:val="008F023B"/>
    <w:rsid w:val="008F1179"/>
    <w:rsid w:val="008F5691"/>
    <w:rsid w:val="00904E16"/>
    <w:rsid w:val="009162B3"/>
    <w:rsid w:val="00927C62"/>
    <w:rsid w:val="0093610E"/>
    <w:rsid w:val="00983951"/>
    <w:rsid w:val="00984124"/>
    <w:rsid w:val="00984640"/>
    <w:rsid w:val="00995C37"/>
    <w:rsid w:val="0099617B"/>
    <w:rsid w:val="009C118A"/>
    <w:rsid w:val="009F039C"/>
    <w:rsid w:val="009F6CCC"/>
    <w:rsid w:val="00A02011"/>
    <w:rsid w:val="00A0537B"/>
    <w:rsid w:val="00A13778"/>
    <w:rsid w:val="00A4011E"/>
    <w:rsid w:val="00A71204"/>
    <w:rsid w:val="00A86015"/>
    <w:rsid w:val="00A87403"/>
    <w:rsid w:val="00A9594E"/>
    <w:rsid w:val="00AA635C"/>
    <w:rsid w:val="00AB2E47"/>
    <w:rsid w:val="00AE59C8"/>
    <w:rsid w:val="00B10098"/>
    <w:rsid w:val="00B5790D"/>
    <w:rsid w:val="00B945C5"/>
    <w:rsid w:val="00BA20EA"/>
    <w:rsid w:val="00BB5105"/>
    <w:rsid w:val="00BB5AFC"/>
    <w:rsid w:val="00BC0A56"/>
    <w:rsid w:val="00BC2E08"/>
    <w:rsid w:val="00C21415"/>
    <w:rsid w:val="00C307B7"/>
    <w:rsid w:val="00C45366"/>
    <w:rsid w:val="00C57023"/>
    <w:rsid w:val="00C74052"/>
    <w:rsid w:val="00CB187A"/>
    <w:rsid w:val="00CC0EC7"/>
    <w:rsid w:val="00CC1123"/>
    <w:rsid w:val="00D1088B"/>
    <w:rsid w:val="00D156D2"/>
    <w:rsid w:val="00D86943"/>
    <w:rsid w:val="00DA47B9"/>
    <w:rsid w:val="00E0506C"/>
    <w:rsid w:val="00E058D3"/>
    <w:rsid w:val="00E26510"/>
    <w:rsid w:val="00E76AD9"/>
    <w:rsid w:val="00E91E2F"/>
    <w:rsid w:val="00EA3546"/>
    <w:rsid w:val="00EB47AE"/>
    <w:rsid w:val="00EC34E1"/>
    <w:rsid w:val="00F01AA2"/>
    <w:rsid w:val="00F0234A"/>
    <w:rsid w:val="00F03579"/>
    <w:rsid w:val="00F52959"/>
    <w:rsid w:val="00F55884"/>
    <w:rsid w:val="00FC0D36"/>
    <w:rsid w:val="00FD7AB6"/>
    <w:rsid w:val="00FE6467"/>
    <w:rsid w:val="00FF1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1F5767C4-F274-4C6F-97C8-185197DCF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B2E47"/>
    <w:rPr>
      <w:rFonts w:ascii="Tahoma" w:hAnsi="Tahoma" w:cs="Tahoma"/>
      <w:sz w:val="16"/>
      <w:szCs w:val="16"/>
    </w:rPr>
  </w:style>
  <w:style w:type="character" w:customStyle="1" w:styleId="BalloonTextChar">
    <w:name w:val="Balloon Text Char"/>
    <w:basedOn w:val="DefaultParagraphFont"/>
    <w:link w:val="BalloonText"/>
    <w:uiPriority w:val="99"/>
    <w:semiHidden/>
    <w:rsid w:val="00AB2E47"/>
    <w:rPr>
      <w:rFonts w:ascii="Tahoma" w:hAnsi="Tahoma" w:cs="Tahoma"/>
      <w:sz w:val="16"/>
      <w:szCs w:val="16"/>
    </w:rPr>
  </w:style>
  <w:style w:type="character" w:styleId="Hyperlink">
    <w:name w:val="Hyperlink"/>
    <w:basedOn w:val="DefaultParagraphFont"/>
    <w:uiPriority w:val="99"/>
    <w:unhideWhenUsed/>
    <w:rsid w:val="00AA63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350072">
      <w:bodyDiv w:val="1"/>
      <w:marLeft w:val="0"/>
      <w:marRight w:val="0"/>
      <w:marTop w:val="0"/>
      <w:marBottom w:val="0"/>
      <w:divBdr>
        <w:top w:val="none" w:sz="0" w:space="0" w:color="auto"/>
        <w:left w:val="none" w:sz="0" w:space="0" w:color="auto"/>
        <w:bottom w:val="none" w:sz="0" w:space="0" w:color="auto"/>
        <w:right w:val="none" w:sz="0" w:space="0" w:color="auto"/>
      </w:divBdr>
    </w:div>
    <w:div w:id="199336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03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376</Words>
  <Characters>2018</Characters>
  <Application>Microsoft Office Word</Application>
  <DocSecurity>4</DocSecurity>
  <Lines>79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203: Concealed weapons - South Carolina Legislature Online</dc:title>
  <dc:subject/>
  <dc:creator>EmilyMoore</dc:creator>
  <cp:keywords/>
  <dc:description/>
  <cp:lastModifiedBy>N Cumfer</cp:lastModifiedBy>
  <cp:revision>2</cp:revision>
  <cp:lastPrinted>2010-05-13T13:07:00Z</cp:lastPrinted>
  <dcterms:created xsi:type="dcterms:W3CDTF">2014-11-21T20:31:00Z</dcterms:created>
  <dcterms:modified xsi:type="dcterms:W3CDTF">2014-11-21T20:31:00Z</dcterms:modified>
</cp:coreProperties>
</file>