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7752F">
        <w:rPr>
          <w:rFonts w:eastAsia="Times New Roman" w:cs="Times New Roman"/>
          <w:b/>
          <w:szCs w:val="20"/>
        </w:rPr>
        <w:t>South Carolina General Assembly</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752F">
        <w:rPr>
          <w:rFonts w:eastAsia="Times New Roman" w:cs="Times New Roman"/>
          <w:szCs w:val="20"/>
        </w:rPr>
        <w:t>119th Session, 2011-2012</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381655"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 R4, S213</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b/>
          <w:szCs w:val="20"/>
        </w:rPr>
        <w:t>STATUS INFORMATION</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szCs w:val="20"/>
        </w:rPr>
        <w:t>General Bill</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szCs w:val="20"/>
        </w:rPr>
        <w:t>Sponsors: Senators McConnell, Campsen and Knotts</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szCs w:val="20"/>
        </w:rPr>
        <w:t>Document Path: l:\council\bills\dka\3010sd11.docx</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D42" w:rsidRDefault="00C47D42"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C47D42" w:rsidRDefault="00C47D42"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2011</w:t>
      </w:r>
    </w:p>
    <w:p w:rsidR="00C47D42" w:rsidRDefault="00C47D42"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9, 2011</w:t>
      </w:r>
    </w:p>
    <w:p w:rsidR="00C47D42" w:rsidRDefault="00C47D42"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16, 2011, Signed</w:t>
      </w:r>
    </w:p>
    <w:p w:rsidR="00C47D42" w:rsidRDefault="00C47D42"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szCs w:val="20"/>
        </w:rPr>
        <w:t>Summary: Reporter's Comments for the Probate Code</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D7752F" w:rsidP="00D7752F">
      <w:pPr>
        <w:widowControl w:val="0"/>
        <w:tabs>
          <w:tab w:val="center" w:pos="590"/>
          <w:tab w:val="center" w:pos="1440"/>
          <w:tab w:val="left" w:pos="1872"/>
          <w:tab w:val="left" w:pos="9187"/>
        </w:tabs>
        <w:rPr>
          <w:rFonts w:eastAsia="Times New Roman" w:cs="Times New Roman"/>
          <w:szCs w:val="20"/>
        </w:rPr>
      </w:pPr>
      <w:r w:rsidRPr="00D7752F">
        <w:rPr>
          <w:rFonts w:eastAsia="Times New Roman" w:cs="Times New Roman"/>
          <w:b/>
          <w:szCs w:val="20"/>
        </w:rPr>
        <w:t>HISTORY OF LEGISLATIVE ACTIONS</w:t>
      </w:r>
    </w:p>
    <w:p w:rsidR="00D7752F" w:rsidRPr="00D7752F" w:rsidRDefault="00D7752F" w:rsidP="00D7752F">
      <w:pPr>
        <w:widowControl w:val="0"/>
        <w:tabs>
          <w:tab w:val="center" w:pos="590"/>
          <w:tab w:val="center" w:pos="1440"/>
          <w:tab w:val="left" w:pos="1872"/>
          <w:tab w:val="left" w:pos="9187"/>
        </w:tabs>
        <w:rPr>
          <w:rFonts w:eastAsia="Times New Roman" w:cs="Times New Roman"/>
          <w:szCs w:val="20"/>
        </w:rPr>
      </w:pPr>
    </w:p>
    <w:p w:rsidR="00D7752F" w:rsidRPr="00D7752F" w:rsidRDefault="00D7752F" w:rsidP="00D7752F">
      <w:pPr>
        <w:widowControl w:val="0"/>
        <w:tabs>
          <w:tab w:val="center" w:pos="590"/>
          <w:tab w:val="center" w:pos="1440"/>
          <w:tab w:val="left" w:pos="1872"/>
          <w:tab w:val="left" w:pos="9187"/>
        </w:tabs>
        <w:rPr>
          <w:rFonts w:eastAsia="Times New Roman" w:cs="Times New Roman"/>
          <w:szCs w:val="20"/>
        </w:rPr>
      </w:pPr>
      <w:r w:rsidRPr="00D7752F">
        <w:rPr>
          <w:rFonts w:eastAsia="Times New Roman" w:cs="Times New Roman"/>
          <w:szCs w:val="20"/>
          <w:u w:val="single"/>
        </w:rPr>
        <w:tab/>
        <w:t>Date</w:t>
      </w:r>
      <w:r w:rsidRPr="00D7752F">
        <w:rPr>
          <w:rFonts w:eastAsia="Times New Roman" w:cs="Times New Roman"/>
          <w:szCs w:val="20"/>
          <w:u w:val="single"/>
        </w:rPr>
        <w:tab/>
        <w:t>Body</w:t>
      </w:r>
      <w:r w:rsidRPr="00D7752F">
        <w:rPr>
          <w:rFonts w:eastAsia="Times New Roman" w:cs="Times New Roman"/>
          <w:szCs w:val="20"/>
          <w:u w:val="single"/>
        </w:rPr>
        <w:tab/>
        <w:t>Action Description with journal page number</w:t>
      </w:r>
      <w:r w:rsidRPr="00D7752F">
        <w:rPr>
          <w:rFonts w:eastAsia="Times New Roman" w:cs="Times New Roman"/>
          <w:szCs w:val="20"/>
          <w:u w:val="single"/>
        </w:rPr>
        <w:tab/>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A36966">
        <w:rPr>
          <w:rFonts w:cs="Times New Roman"/>
        </w:rPr>
        <w:t>Prefiled</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A36966">
        <w:rPr>
          <w:rFonts w:cs="Times New Roman"/>
        </w:rPr>
        <w:t xml:space="preserve">Referred to Committee on </w:t>
      </w:r>
      <w:r w:rsidRPr="00A36966">
        <w:rPr>
          <w:rFonts w:cs="Times New Roman"/>
          <w:b/>
        </w:rPr>
        <w:t>Judiciary</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A36966">
        <w:rPr>
          <w:rFonts w:cs="Times New Roman"/>
        </w:rPr>
        <w:t>Introduced and read first time (</w:t>
      </w:r>
      <w:hyperlink r:id="rId6" w:history="1">
        <w:r w:rsidRPr="00A36966">
          <w:rPr>
            <w:rStyle w:val="Hyperlink"/>
            <w:rFonts w:cs="Times New Roman"/>
          </w:rPr>
          <w:t>Senate Journal</w:t>
        </w:r>
        <w:r w:rsidRPr="00A36966">
          <w:rPr>
            <w:rStyle w:val="Hyperlink"/>
            <w:rFonts w:cs="Times New Roman"/>
          </w:rPr>
          <w:noBreakHyphen/>
          <w:t>page 99</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A36966">
        <w:rPr>
          <w:rFonts w:cs="Times New Roman"/>
        </w:rPr>
        <w:t>Ref</w:t>
      </w:r>
      <w:r>
        <w:rPr>
          <w:rFonts w:cs="Times New Roman"/>
        </w:rPr>
        <w:t xml:space="preserve">erred to Committee on </w:t>
      </w:r>
      <w:r w:rsidRPr="00A36966">
        <w:rPr>
          <w:rFonts w:cs="Times New Roman"/>
          <w:b/>
        </w:rPr>
        <w:t>Judiciary</w:t>
      </w:r>
      <w:r>
        <w:rPr>
          <w:rFonts w:cs="Times New Roman"/>
        </w:rPr>
        <w:t xml:space="preserve"> </w:t>
      </w:r>
      <w:r w:rsidRPr="00A36966">
        <w:rPr>
          <w:rFonts w:cs="Times New Roman"/>
        </w:rPr>
        <w:t>(</w:t>
      </w:r>
      <w:hyperlink r:id="rId7" w:history="1">
        <w:r w:rsidRPr="00A36966">
          <w:rPr>
            <w:rStyle w:val="Hyperlink"/>
            <w:rFonts w:cs="Times New Roman"/>
          </w:rPr>
          <w:t>Senate Journal</w:t>
        </w:r>
        <w:r w:rsidRPr="00A36966">
          <w:rPr>
            <w:rStyle w:val="Hyperlink"/>
            <w:rFonts w:cs="Times New Roman"/>
          </w:rPr>
          <w:noBreakHyphen/>
          <w:t>page 99</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A36966">
        <w:rPr>
          <w:rFonts w:cs="Times New Roman"/>
        </w:rPr>
        <w:t>Commit</w:t>
      </w:r>
      <w:r>
        <w:rPr>
          <w:rFonts w:cs="Times New Roman"/>
        </w:rPr>
        <w:t xml:space="preserve">tee report: Favorable </w:t>
      </w:r>
      <w:r w:rsidRPr="00A36966">
        <w:rPr>
          <w:rFonts w:cs="Times New Roman"/>
          <w:b/>
        </w:rPr>
        <w:t>Judiciary</w:t>
      </w:r>
      <w:r>
        <w:rPr>
          <w:rFonts w:cs="Times New Roman"/>
        </w:rPr>
        <w:t xml:space="preserve"> </w:t>
      </w:r>
      <w:r w:rsidRPr="00A36966">
        <w:rPr>
          <w:rFonts w:cs="Times New Roman"/>
        </w:rPr>
        <w:t>(</w:t>
      </w:r>
      <w:hyperlink r:id="rId8" w:history="1">
        <w:r w:rsidRPr="00A36966">
          <w:rPr>
            <w:rStyle w:val="Hyperlink"/>
            <w:rFonts w:cs="Times New Roman"/>
          </w:rPr>
          <w:t>Senate Journal</w:t>
        </w:r>
        <w:r w:rsidRPr="00A36966">
          <w:rPr>
            <w:rStyle w:val="Hyperlink"/>
            <w:rFonts w:cs="Times New Roman"/>
          </w:rPr>
          <w:noBreakHyphen/>
          <w:t>page 18</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lastRenderedPageBreak/>
        <w:tab/>
        <w:t>2/1/2011</w:t>
      </w:r>
      <w:r>
        <w:rPr>
          <w:rFonts w:cs="Times New Roman"/>
        </w:rPr>
        <w:tab/>
        <w:t>Senate</w:t>
      </w:r>
      <w:r>
        <w:rPr>
          <w:rFonts w:cs="Times New Roman"/>
        </w:rPr>
        <w:tab/>
      </w:r>
      <w:r w:rsidRPr="00A36966">
        <w:rPr>
          <w:rFonts w:cs="Times New Roman"/>
        </w:rPr>
        <w:t>Read second time (</w:t>
      </w:r>
      <w:hyperlink r:id="rId9" w:history="1">
        <w:r w:rsidRPr="00A36966">
          <w:rPr>
            <w:rStyle w:val="Hyperlink"/>
            <w:rFonts w:cs="Times New Roman"/>
          </w:rPr>
          <w:t>Senate Journal</w:t>
        </w:r>
        <w:r w:rsidRPr="00A36966">
          <w:rPr>
            <w:rStyle w:val="Hyperlink"/>
            <w:rFonts w:cs="Times New Roman"/>
          </w:rPr>
          <w:noBreakHyphen/>
          <w:t>page 6</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Senate</w:t>
      </w:r>
      <w:r>
        <w:rPr>
          <w:rFonts w:cs="Times New Roman"/>
        </w:rPr>
        <w:tab/>
      </w:r>
      <w:r w:rsidRPr="00A36966">
        <w:rPr>
          <w:rFonts w:cs="Times New Roman"/>
        </w:rPr>
        <w:t>Roll call Ayes</w:t>
      </w:r>
      <w:r>
        <w:rPr>
          <w:rFonts w:cs="Times New Roman"/>
        </w:rPr>
        <w:noBreakHyphen/>
      </w:r>
      <w:r w:rsidRPr="00A36966">
        <w:rPr>
          <w:rFonts w:cs="Times New Roman"/>
        </w:rPr>
        <w:t>35  Nays</w:t>
      </w:r>
      <w:r>
        <w:rPr>
          <w:rFonts w:cs="Times New Roman"/>
        </w:rPr>
        <w:noBreakHyphen/>
      </w:r>
      <w:r w:rsidRPr="00A36966">
        <w:rPr>
          <w:rFonts w:cs="Times New Roman"/>
        </w:rPr>
        <w:t>0 (</w:t>
      </w:r>
      <w:hyperlink r:id="rId10" w:history="1">
        <w:r w:rsidRPr="00A36966">
          <w:rPr>
            <w:rStyle w:val="Hyperlink"/>
            <w:rFonts w:cs="Times New Roman"/>
          </w:rPr>
          <w:t>Senate Journal</w:t>
        </w:r>
        <w:r w:rsidRPr="00A36966">
          <w:rPr>
            <w:rStyle w:val="Hyperlink"/>
            <w:rFonts w:cs="Times New Roman"/>
          </w:rPr>
          <w:noBreakHyphen/>
          <w:t>page 6</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Senate</w:t>
      </w:r>
      <w:r>
        <w:rPr>
          <w:rFonts w:cs="Times New Roman"/>
        </w:rPr>
        <w:tab/>
      </w:r>
      <w:r w:rsidRPr="00A36966">
        <w:rPr>
          <w:rFonts w:cs="Times New Roman"/>
        </w:rPr>
        <w:t>Read third time and sent to House</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A36966">
        <w:rPr>
          <w:rFonts w:cs="Times New Roman"/>
        </w:rPr>
        <w:t>Introduced, read</w:t>
      </w:r>
      <w:r>
        <w:rPr>
          <w:rFonts w:cs="Times New Roman"/>
        </w:rPr>
        <w:t xml:space="preserve"> first time, placed on calendar </w:t>
      </w:r>
      <w:r w:rsidRPr="00A36966">
        <w:rPr>
          <w:rFonts w:cs="Times New Roman"/>
        </w:rPr>
        <w:t>without reference (</w:t>
      </w:r>
      <w:hyperlink r:id="rId11" w:history="1">
        <w:r w:rsidRPr="00A36966">
          <w:rPr>
            <w:rStyle w:val="Hyperlink"/>
            <w:rFonts w:cs="Times New Roman"/>
          </w:rPr>
          <w:t>House Journal</w:t>
        </w:r>
        <w:r w:rsidRPr="00A36966">
          <w:rPr>
            <w:rStyle w:val="Hyperlink"/>
            <w:rFonts w:cs="Times New Roman"/>
          </w:rPr>
          <w:noBreakHyphen/>
          <w:t>page 10</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A36966">
        <w:rPr>
          <w:rFonts w:cs="Times New Roman"/>
        </w:rPr>
        <w:t>Read second time (</w:t>
      </w:r>
      <w:hyperlink r:id="rId12" w:history="1">
        <w:r w:rsidRPr="00A36966">
          <w:rPr>
            <w:rStyle w:val="Hyperlink"/>
            <w:rFonts w:cs="Times New Roman"/>
          </w:rPr>
          <w:t>House Journal</w:t>
        </w:r>
        <w:r w:rsidRPr="00A36966">
          <w:rPr>
            <w:rStyle w:val="Hyperlink"/>
            <w:rFonts w:cs="Times New Roman"/>
          </w:rPr>
          <w:noBreakHyphen/>
          <w:t>page 63</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A36966">
        <w:rPr>
          <w:rFonts w:cs="Times New Roman"/>
        </w:rPr>
        <w:t>Read third time and enrolled (</w:t>
      </w:r>
      <w:hyperlink r:id="rId13" w:history="1">
        <w:r w:rsidRPr="00A36966">
          <w:rPr>
            <w:rStyle w:val="Hyperlink"/>
            <w:rFonts w:cs="Times New Roman"/>
          </w:rPr>
          <w:t>House Journal</w:t>
        </w:r>
        <w:r w:rsidRPr="00A36966">
          <w:rPr>
            <w:rStyle w:val="Hyperlink"/>
            <w:rFonts w:cs="Times New Roman"/>
          </w:rPr>
          <w:noBreakHyphen/>
          <w:t>page 23</w:t>
        </w:r>
      </w:hyperlink>
      <w:r w:rsidRPr="00A36966">
        <w:rPr>
          <w:rFonts w:cs="Times New Roman"/>
        </w:rPr>
        <w:t>)</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A36966">
        <w:rPr>
          <w:rFonts w:cs="Times New Roman"/>
        </w:rPr>
        <w:t>Ratified R 4</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A36966">
        <w:rPr>
          <w:rFonts w:cs="Times New Roman"/>
        </w:rPr>
        <w:t>Signed By Governor</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3/18/2011</w:t>
      </w:r>
      <w:r>
        <w:rPr>
          <w:rFonts w:cs="Times New Roman"/>
        </w:rPr>
        <w:tab/>
      </w:r>
      <w:r>
        <w:rPr>
          <w:rFonts w:cs="Times New Roman"/>
        </w:rPr>
        <w:tab/>
      </w:r>
      <w:r w:rsidRPr="00A36966">
        <w:rPr>
          <w:rFonts w:cs="Times New Roman"/>
        </w:rPr>
        <w:t>Effective date 03/16/11</w:t>
      </w:r>
    </w:p>
    <w:p w:rsidR="00381655" w:rsidRDefault="00381655" w:rsidP="00381655">
      <w:pPr>
        <w:widowControl w:val="0"/>
        <w:tabs>
          <w:tab w:val="right" w:pos="1008"/>
          <w:tab w:val="left" w:pos="1152"/>
          <w:tab w:val="left" w:pos="1872"/>
          <w:tab w:val="left" w:pos="9187"/>
        </w:tabs>
        <w:ind w:left="2088" w:hanging="2088"/>
        <w:rPr>
          <w:rFonts w:cs="Times New Roman"/>
        </w:rPr>
      </w:pPr>
      <w:r>
        <w:rPr>
          <w:rFonts w:cs="Times New Roman"/>
        </w:rPr>
        <w:tab/>
        <w:t>3/18/2011</w:t>
      </w:r>
      <w:r>
        <w:rPr>
          <w:rFonts w:cs="Times New Roman"/>
        </w:rPr>
        <w:tab/>
      </w:r>
      <w:r>
        <w:rPr>
          <w:rFonts w:cs="Times New Roman"/>
        </w:rPr>
        <w:tab/>
      </w:r>
      <w:r w:rsidRPr="00A36966">
        <w:rPr>
          <w:rFonts w:cs="Times New Roman"/>
        </w:rPr>
        <w:t>Act No</w:t>
      </w:r>
      <w:r>
        <w:rPr>
          <w:rFonts w:cs="Times New Roman"/>
        </w:rPr>
        <w:t>. </w:t>
      </w:r>
      <w:r w:rsidRPr="00A36966">
        <w:rPr>
          <w:rFonts w:cs="Times New Roman"/>
        </w:rPr>
        <w:t>2</w:t>
      </w:r>
    </w:p>
    <w:p w:rsidR="00381655" w:rsidRDefault="00381655" w:rsidP="00381655">
      <w:pPr>
        <w:widowControl w:val="0"/>
        <w:tabs>
          <w:tab w:val="right" w:pos="1008"/>
          <w:tab w:val="left" w:pos="1152"/>
          <w:tab w:val="left" w:pos="1872"/>
          <w:tab w:val="left" w:pos="9187"/>
        </w:tabs>
        <w:ind w:left="2088" w:hanging="2088"/>
        <w:rPr>
          <w:rFonts w:cs="Times New Roman"/>
        </w:rPr>
      </w:pPr>
    </w:p>
    <w:p w:rsidR="00D7752F" w:rsidRPr="00D7752F" w:rsidRDefault="00D7752F" w:rsidP="00D7752F">
      <w:pPr>
        <w:widowControl w:val="0"/>
        <w:tabs>
          <w:tab w:val="right" w:pos="1008"/>
          <w:tab w:val="left" w:pos="1152"/>
          <w:tab w:val="left" w:pos="1872"/>
          <w:tab w:val="left" w:pos="9187"/>
        </w:tabs>
        <w:ind w:left="2088" w:hanging="2088"/>
        <w:rPr>
          <w:rFonts w:eastAsia="Times New Roman" w:cs="Times New Roman"/>
          <w:szCs w:val="20"/>
        </w:rPr>
      </w:pP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752F">
        <w:rPr>
          <w:rFonts w:eastAsia="Times New Roman" w:cs="Times New Roman"/>
          <w:b/>
          <w:szCs w:val="20"/>
        </w:rPr>
        <w:t>VERSIONS OF THIS BILL</w:t>
      </w:r>
    </w:p>
    <w:p w:rsidR="00D7752F" w:rsidRPr="00D7752F" w:rsidRDefault="00D7752F"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52F" w:rsidRPr="00D7752F" w:rsidRDefault="00153EA6" w:rsidP="00D77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4" w:history="1">
        <w:r w:rsidR="00D7752F" w:rsidRPr="00D7752F">
          <w:rPr>
            <w:rFonts w:eastAsia="Times New Roman" w:cs="Times New Roman"/>
            <w:color w:val="0000FF" w:themeColor="hyperlink"/>
            <w:szCs w:val="20"/>
            <w:u w:val="single"/>
          </w:rPr>
          <w:t>12/8/2010</w:t>
        </w:r>
      </w:hyperlink>
    </w:p>
    <w:p w:rsidR="00D7752F" w:rsidRPr="00D7752F" w:rsidRDefault="00153EA6" w:rsidP="00D77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D7752F" w:rsidRPr="00D7752F">
          <w:rPr>
            <w:rFonts w:eastAsia="Times New Roman" w:cs="Times New Roman"/>
            <w:color w:val="0000FF" w:themeColor="hyperlink"/>
            <w:szCs w:val="20"/>
            <w:u w:val="single"/>
          </w:rPr>
          <w:t>1/26/2011</w:t>
        </w:r>
      </w:hyperlink>
    </w:p>
    <w:p w:rsidR="00D7752F" w:rsidRPr="00D7752F" w:rsidRDefault="00153EA6" w:rsidP="00D77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D7752F" w:rsidRPr="00D7752F">
          <w:rPr>
            <w:rFonts w:eastAsia="Times New Roman" w:cs="Times New Roman"/>
            <w:color w:val="0000FF" w:themeColor="hyperlink"/>
            <w:szCs w:val="20"/>
            <w:u w:val="single"/>
          </w:rPr>
          <w:t>2/3/2011</w:t>
        </w:r>
      </w:hyperlink>
    </w:p>
    <w:p w:rsidR="00D7752F" w:rsidRPr="00D7752F" w:rsidRDefault="00D7752F" w:rsidP="00D77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752F" w:rsidRDefault="00D7752F" w:rsidP="00D77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752F" w:rsidSect="00D7752F">
          <w:pgSz w:w="12240" w:h="15840" w:code="1"/>
          <w:pgMar w:top="1080" w:right="1440" w:bottom="1080" w:left="1440" w:header="720" w:footer="720" w:gutter="0"/>
          <w:pgNumType w:start="1"/>
          <w:cols w:space="720"/>
          <w:noEndnote/>
          <w:docGrid w:linePitch="360"/>
        </w:sectPr>
      </w:pP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 R4, S213)</w:t>
      </w:r>
    </w:p>
    <w:p w:rsidR="0036158A" w:rsidRPr="008836A5"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158A" w:rsidRPr="00D7752F"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752F">
        <w:rPr>
          <w:rFonts w:cs="Times New Roman"/>
          <w:b/>
          <w:color w:val="000000" w:themeColor="text1"/>
          <w:szCs w:val="36"/>
        </w:rPr>
        <w:t xml:space="preserve">AN ACT </w:t>
      </w:r>
      <w:r w:rsidRPr="00D7752F">
        <w:rPr>
          <w:rFonts w:cs="Times New Roman"/>
          <w:b/>
        </w:rPr>
        <w:t>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6FF7">
        <w:rPr>
          <w:rFonts w:cs="Times New Roman"/>
        </w:rPr>
        <w:t>Be it enacted by the General Assembly of the State of South Carolina:</w:t>
      </w: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Findings</w:t>
      </w:r>
    </w:p>
    <w:p w:rsidR="0036158A" w:rsidRPr="002B7700"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6FF7">
        <w:rPr>
          <w:rFonts w:cs="Times New Roman"/>
        </w:rPr>
        <w:t>SECTION</w:t>
      </w:r>
      <w:r w:rsidRPr="00AB6FF7">
        <w:rPr>
          <w:rFonts w:cs="Times New Roman"/>
        </w:rPr>
        <w:tab/>
        <w:t>1.</w:t>
      </w:r>
      <w:r w:rsidRPr="00AB6FF7">
        <w:rPr>
          <w:rFonts w:cs="Times New Roman"/>
        </w:rPr>
        <w:tab/>
        <w:t>The General Assembly finds that by Act 244 of 2010, the General Assembly enacted various statutory changes to the South Carolina Probate Code as contained in Title 62.  The South Carolina Probate Code as originally enacted in 1986 contained Reporter’s Comments after most sections further explaining the intent and effect of those sections which has been of great assistance to the South Carolina Bar and general public.  Due to time constraints, it was not possible to complete Reporter’s Comments to the code sections amended by Act 244 of 2010, but through the efforts of the South Carolina Bar these comments have been completed and offered to the General Assembly by the South Carolina Bar for such use as the General Assembly considers appropriate. In accepting these Reporter’s Comments for use and publication in the manner provided by this act, the General Assembly expresses its thanks to the South Carolina Bar and its member attorneys for their diligence and professionalism in developing and preparing these comments.</w:t>
      </w: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Reporter’s Comments</w:t>
      </w:r>
    </w:p>
    <w:p w:rsidR="0036158A" w:rsidRPr="002B7700"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6FF7">
        <w:rPr>
          <w:rFonts w:cs="Times New Roman"/>
        </w:rPr>
        <w:t>SECTION</w:t>
      </w:r>
      <w:r w:rsidRPr="00AB6FF7">
        <w:rPr>
          <w:rFonts w:cs="Times New Roman"/>
        </w:rPr>
        <w:tab/>
        <w:t>2.</w:t>
      </w:r>
      <w:r w:rsidRPr="00AB6FF7">
        <w:rPr>
          <w:rFonts w:cs="Times New Roman"/>
        </w:rPr>
        <w:tab/>
        <w:t>The South Carolina Code Commissioner is directed to include beginning with the 2011 Cumulative Supplement to the Code of Laws of South Carolina, 1976, the following South Carolina Reporter’s Comments to the provisions of Title 62 (the South Carolina Probate Code), amended by Act 244 of 2010.  The formatting and location of these comments shall be as the Code Commissioner determines.  Those comments are as follows: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Pr="002A0F25"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000000" w:themeColor="text1"/>
          <w:u w:color="000000" w:themeColor="text1"/>
        </w:rPr>
      </w:pPr>
      <w:r w:rsidRPr="002A0F25">
        <w:rPr>
          <w:rFonts w:cs="Times New Roman"/>
          <w:b/>
        </w:rPr>
        <w:t>“</w:t>
      </w:r>
      <w:r w:rsidRPr="002A0F25">
        <w:rPr>
          <w:rFonts w:cs="Times New Roman"/>
          <w:b/>
          <w:color w:val="000000" w:themeColor="text1"/>
          <w:u w:color="000000" w:themeColor="text1"/>
        </w:rPr>
        <w:t>South Carolina Comments</w:t>
      </w: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General Definitions.</w:t>
      </w: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certain definitions in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i.e., “application” in item (1), “formal proceedings” in item (15), “informal proceedings” in item (19), “petition” in item (31), and “testacy proceeding” in item (43), as well as other relevant sections throughout the Probate Code, to clarify that the law requires a summons in formal proceedings and the rules of civil procedure adopted for the circuit court and other rules of procedure in this title apply to and govern formal proceedings in probate court.  See S.C. Code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also see,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Prior to the 2010 amendments, certain confusion existed regarding the requirement of a summons in a formal proceeding and how the South Carolina Rules of Civil Procedure apply to formal proceedings in the probate court.  The 2010 amendments in this section and throughout other portions of the Probate Code are intended to minimize such confusion and to expressly clarify that a “formal proceeding” is commenced by a summons and petition and governed by the rules of civil procedure adopted for the circuit court and other rules of procedure in this title, and that an “application” does not require a summons and is not governed by or subject to the rules of civil procedure adopted for the circuit court.  The vast majority of proceedings in probate court are “informal proceedings” commenced by application.  Unlike a petition, an application does not require a summons.  Refer to 2010 amendments to certain definitions in this section.  Where applicable and appropriate, the 2010 amendments expand the matters in which an application may be utilized.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Practice in Court.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and essentially rewrote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in order to clarify that “formal proceedings” are governed by and subject to the rules of civil procedure adopted for the circuit court [SCRCP] and other rules of procedure in this title and that the SCRCP also govern formal proceedings and commencement of same.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see also,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401.  Notice; method and time of giving.</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added subsection (d) to clarify and avoid confusion that previously existed regarding the notice provisions in this section.  The effect of the 2010 amendment was intended to make it clear that the notice provisions in this section are not intended to and do not constitute a summons, which is required for a petition in formal proceedings.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Pr>
          <w:rFonts w:cs="Times New Roman"/>
          <w:color w:val="000000" w:themeColor="text1"/>
          <w:u w:color="000000" w:themeColor="text1"/>
        </w:rPr>
        <w:noBreakHyphen/>
        <w:t>304, and Rules 1 and 81, SCRCP.</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403.  Pleadings; when parties bound by others; notice.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subsections (1) and (3) to clarify procedure for a formal proceeding, which requires a summons and petition to commence a formal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The 2010 amendment also revised subsection (2)(ii)  to delete “parent” and replace it with “person,” so that it is consistent with the remainder of that subsection and also delete “child” and replace it with “issue” to be broader and more inclusive.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2</w:t>
      </w:r>
      <w:r w:rsidRPr="00AB6FF7">
        <w:rPr>
          <w:rFonts w:cs="Times New Roman"/>
          <w:color w:val="000000" w:themeColor="text1"/>
          <w:u w:color="000000" w:themeColor="text1"/>
        </w:rPr>
        <w:noBreakHyphen/>
        <w:t>205.  Proceedings for elective share; time limit.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by deleting “mailing or delivering” and replacing it with “serving upon” and also adding “summons and” to clarify that a summons and petition are required to commence a formal proceeding, including a formal proceeding for elective share.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2</w:t>
      </w:r>
      <w:r w:rsidRPr="00AB6FF7">
        <w:rPr>
          <w:rFonts w:cs="Times New Roman"/>
          <w:color w:val="000000" w:themeColor="text1"/>
          <w:u w:color="000000" w:themeColor="text1"/>
        </w:rPr>
        <w:noBreakHyphen/>
        <w:t>402.  Source, determination, and documentation.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revised subsection (a) by deleting “petition” and replacing it with “make application,” so that the personal representative or any interested person as referred to in this section can make application to the probate court.  Unlike a petition, an application does not require a summons or petition.  See 2010 amendments to certain </w:t>
      </w:r>
      <w:r>
        <w:rPr>
          <w:rFonts w:cs="Times New Roman"/>
          <w:color w:val="000000" w:themeColor="text1"/>
          <w:u w:color="000000" w:themeColor="text1"/>
        </w:rPr>
        <w:t xml:space="preserve">definitions in </w:t>
      </w:r>
      <w:r w:rsidRPr="00AB6FF7">
        <w:rPr>
          <w:rFonts w:cs="Times New Roman"/>
          <w:color w:val="000000" w:themeColor="text1"/>
          <w:u w:color="000000" w:themeColor="text1"/>
        </w:rPr>
        <w:t>§</w:t>
      </w:r>
      <w:r>
        <w:rPr>
          <w:rFonts w:cs="Times New Roman"/>
          <w:color w:val="000000" w:themeColor="text1"/>
          <w:u w:color="000000" w:themeColor="text1"/>
        </w:rPr>
        <w:t>62</w:t>
      </w:r>
      <w:r>
        <w:rPr>
          <w:rFonts w:cs="Times New Roman"/>
          <w:color w:val="000000" w:themeColor="text1"/>
          <w:u w:color="000000" w:themeColor="text1"/>
        </w:rPr>
        <w:noBreakHyphen/>
        <w:t>1</w:t>
      </w:r>
      <w:r>
        <w:rPr>
          <w:rFonts w:cs="Times New Roman"/>
          <w:color w:val="000000" w:themeColor="text1"/>
          <w:u w:color="000000" w:themeColor="text1"/>
        </w:rPr>
        <w:noBreakHyphen/>
        <w:t>201</w:t>
      </w:r>
      <w:r w:rsidRPr="00AB6FF7">
        <w:rPr>
          <w:rFonts w:cs="Times New Roman"/>
          <w:color w:val="000000" w:themeColor="text1"/>
          <w:u w:color="000000" w:themeColor="text1"/>
        </w:rPr>
        <w:t xml:space="preserve">(1).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203.  Priority among persons seeking appointment as personal representative.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(d) to eliminate certain language as to “priority resulting from renunciation or waiver,” and adding “or informal” proceedings.  The prior version of subsection (d) provided for only a formal proceeding.  The 2010 amendment allows one who does not have priority to pursue either a formal proceeding (requiring summons and petition) or an informal proceeding (does not require summons and petition) for appointment.  See 2010 amendments to c</w:t>
      </w:r>
      <w:r>
        <w:rPr>
          <w:rFonts w:cs="Times New Roman"/>
          <w:color w:val="000000" w:themeColor="text1"/>
          <w:u w:color="000000" w:themeColor="text1"/>
        </w:rPr>
        <w:t>ertain definitions in §62</w:t>
      </w:r>
      <w:r>
        <w:rPr>
          <w:rFonts w:cs="Times New Roman"/>
          <w:color w:val="000000" w:themeColor="text1"/>
          <w:u w:color="000000" w:themeColor="text1"/>
        </w:rPr>
        <w:noBreakHyphen/>
        <w:t>1</w:t>
      </w:r>
      <w:r>
        <w:rPr>
          <w:rFonts w:cs="Times New Roman"/>
          <w:color w:val="000000" w:themeColor="text1"/>
          <w:u w:color="000000" w:themeColor="text1"/>
        </w:rPr>
        <w:noBreakHyphen/>
        <w:t>201(1).</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401.  Formal testacy proceedings; nature; when commenced.</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“may” and replaced it with “must” and added “and serving a summons” to clarify that a summons and petition are required to commence a formal proceeding, including a formal testacy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403.  Formal testacy proceeding; notice of hearing on petition.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to add “or at any time after that,” to delete Notice at the beginning of the third sentence and replacing it with “The following persons” and also including the requirement for a summons and petition.  The 2010 amendment also revised subsection (b) to clarify that a summons and petition are required to commence a formal proceeding, including a formal testacy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409.  Formal testacy proceedings; order; foreign will.</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delete “After the time required for any notice has expired, upon” at the beginning and replace it with “Upon” proof of “service of the summons and petition” and also included the notice requirement for any hearing.  The foregoing amendment was intended to clarify that a summons and petition are required to commence a formal proceeding, including a formal testacy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414.  Formal proceedings concerning appointment of personal representative.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(b) to delete “notice” and replace it with “service of the summons and petition” to clarify that a summons and petition are required to commence a formal proceeding, including a formal proceeding concerning appointment of a personal representative as referred to in this section.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502.  Administration under Part 5 [Sections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501 et seq.]; petition; order.</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add “service of the summons and petition and upon” in the fourth sentence to clarify that a summons and petition and notice of any hearing are required for a formal proceeding for administration under Part 5.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503. Administration under Part 5 [Sections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501 et seq.]; effect on other proceedings.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“he has received” and added “service of the summons and petition upon the personal representative and” to the first sentence to clarify that a summons and petition are required to commence a formal proceeding, including a formal proceeding under Part 5.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604.  Bond amount; security; procedure; reduction.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“On petition of” at the beginning of the last sentence and added “Upon application by” to allow the personal representative or another interested person to make application to the probate court regarding bond matters as outlined in this section.  Unlike a petition, an application does not require a summons or petition.  See §</w:t>
      </w:r>
      <w:r>
        <w:rPr>
          <w:rFonts w:cs="Times New Roman"/>
          <w:color w:val="000000" w:themeColor="text1"/>
          <w:u w:color="000000" w:themeColor="text1"/>
        </w:rPr>
        <w:t>62</w:t>
      </w:r>
      <w:r>
        <w:rPr>
          <w:rFonts w:cs="Times New Roman"/>
          <w:color w:val="000000" w:themeColor="text1"/>
          <w:u w:color="000000" w:themeColor="text1"/>
        </w:rPr>
        <w:noBreakHyphen/>
        <w:t>1</w:t>
      </w:r>
      <w:r>
        <w:rPr>
          <w:rFonts w:cs="Times New Roman"/>
          <w:color w:val="000000" w:themeColor="text1"/>
          <w:u w:color="000000" w:themeColor="text1"/>
        </w:rPr>
        <w:noBreakHyphen/>
        <w:t>201</w:t>
      </w:r>
      <w:r w:rsidRPr="00AB6FF7">
        <w:rPr>
          <w:rFonts w:cs="Times New Roman"/>
          <w:color w:val="000000" w:themeColor="text1"/>
          <w:u w:color="000000" w:themeColor="text1"/>
        </w:rPr>
        <w:t>(1).  The 2010 amendment also added “upon the court’s own motion” in the last sentence.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607.  Order restraining personal representative.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“On petition” at the beginning of this section and replaced it with “Upon application” so that any person who appears to have an interest in the estate can make application to the probate court to restrain a personal representative.  Unlike a petition, an application does not require a summons or petition.  See 2010 amendments to certain definitions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201(1).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611.  Termination of appointment by removal; cause; procedure.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added “service of the summons and petition upon the personal representative and” in the fourth sentence to clarify that a summons and petition are required to commence a formal proceeding, including a formal proceeding to remove a personal representative.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806.  Allowance of claims.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added “service of” and “summons and” in the first sentence to clarify that a summons and petition are required to commence a formal proceeding, including a formal proceeding for allowance of claims.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and Rules 1 and 81, SCRCP.  The 2010 amendment also added “of hearing” after “Notice” in the last sentence to clarify the notice of hearing requirements referred to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401.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911.  Partition for purpose of distribution.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added “service of summons and petition and after” in the second sentence to clarify that a summons and petition are required to commence a formal proceeding, including a formal proceeding for purpose of distribution and to make partition.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1001.  Required filings with court; petition for order compelling personal representative to perform duties; court orders.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subsections (3) and (4) to conform to current practice allowing the personal representative to pursue informal proceedings to close the estate by filing an application rather than a petition.  Unlike a petition, an application does not require a summons or petition.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(1).  The 2010 amendment also revised subsection (4)(c ) to delete “on appropriate conditions, determining testacy, determining the persons entitled to distribution of the estate, and, as circumstances require,” and adding “in accordance with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401 in the last sentence to clarify procedure.  The 2010 amendment added “of hearing” in subsection (d) to clarify the notice of hearing requirements referred to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401.</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1008.  Subsequent administration.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“petition” and replaced it with “application” to allow any interested person to make application for a subsequent administration.  Unlike a petition, an application does not require a summons or petition.  See 2010 amendments to certain definitions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1101.  Effect of approval of agreements involving trusts, inalienable interests, or interests of third persons.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deleted “in a formal proceeding in” and replaced the foregoing with “by” and deleted “for that purpose” and replaced it with “after hearing.”  The intention of the amendment was to require court approval in an informal proceeding after hearing.  See §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1102 regarding application procedure for approval of compromise and certain agreements.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1102.  Procedure for securing court approval of compromise.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(3) to delete “After” at the beginning and replaces it with “Upon application to the court and after” to allow application to the probate court to secure court approval of a compromise.  Unlike a petition, an application does not require a summons or petition.  See 2010 amendments to certain definitions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1309.  Time for return; sale of real estate after hearing and notice.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delete “for return” in the first sentence and replace it with “to answer or otherwise respond by motion to the summons and petition, delete “make a return” and replace it with “answer or otherwise respond by motion,” add “subsequent pleadings,” and delete “return” and replace it with “motions” in the second sentence The foregoing 2010 amendment is intended to clarify that an answer or other response to a summons and petition must be served in an action to sell real estate, which is a formal proceed</w:t>
      </w:r>
      <w:r>
        <w:rPr>
          <w:rFonts w:cs="Times New Roman"/>
          <w:color w:val="000000" w:themeColor="text1"/>
          <w:u w:color="000000" w:themeColor="text1"/>
        </w:rPr>
        <w:t>ing as referred to in §62</w:t>
      </w:r>
      <w:r>
        <w:rPr>
          <w:rFonts w:cs="Times New Roman"/>
          <w:color w:val="000000" w:themeColor="text1"/>
          <w:u w:color="000000" w:themeColor="text1"/>
        </w:rPr>
        <w:noBreakHyphen/>
        <w:t>1</w:t>
      </w:r>
      <w:r>
        <w:rPr>
          <w:rFonts w:cs="Times New Roman"/>
          <w:color w:val="000000" w:themeColor="text1"/>
          <w:u w:color="000000" w:themeColor="text1"/>
        </w:rPr>
        <w:noBreakHyphen/>
        <w:t>201</w:t>
      </w:r>
      <w:r w:rsidRPr="00AB6FF7">
        <w:rPr>
          <w:rFonts w:cs="Times New Roman"/>
          <w:color w:val="000000" w:themeColor="text1"/>
          <w:u w:color="000000" w:themeColor="text1"/>
        </w:rPr>
        <w:t>(15).</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101.  Definitions and use of terms.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(5) to add “formal” before proceeding to clarify that a guardianship proceeding is a formal proceed</w:t>
      </w:r>
      <w:r>
        <w:rPr>
          <w:rFonts w:cs="Times New Roman"/>
          <w:color w:val="000000" w:themeColor="text1"/>
          <w:u w:color="000000" w:themeColor="text1"/>
        </w:rPr>
        <w:t>ing as referred to in §62</w:t>
      </w:r>
      <w:r>
        <w:rPr>
          <w:rFonts w:cs="Times New Roman"/>
          <w:color w:val="000000" w:themeColor="text1"/>
          <w:u w:color="000000" w:themeColor="text1"/>
        </w:rPr>
        <w:noBreakHyphen/>
        <w:t>1</w:t>
      </w:r>
      <w:r>
        <w:rPr>
          <w:rFonts w:cs="Times New Roman"/>
          <w:color w:val="000000" w:themeColor="text1"/>
          <w:u w:color="000000" w:themeColor="text1"/>
        </w:rPr>
        <w:noBreakHyphen/>
        <w:t>201</w:t>
      </w:r>
      <w:r w:rsidRPr="00AB6FF7">
        <w:rPr>
          <w:rFonts w:cs="Times New Roman"/>
          <w:color w:val="000000" w:themeColor="text1"/>
          <w:u w:color="000000" w:themeColor="text1"/>
        </w:rPr>
        <w:t>(15).</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303.  Procedure for court appointment of a guardian of an incapacitated person.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to delete “any” and replace it with “a” and revise subsection (b) to add “and service” and “the summons and the” in the first sentence to clarify that a summons and petition are required in a formal proceeding, including a guardianship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305.  Acceptance of appointment; consent to jurisdiction.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by adding “first class” to clarify that the mailing requirement for notice to any guardian as referred to in this section must be by “first class” mail.</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307.  Removal or resignation of guardian; termination of incapacity.</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to delete “On” and replace it with “After service of the summons and” at the beginning of the first sentence.  The intention of the amendment to subsection (a) was to clarify that a summons and petition are required in a formal proceeding, including a guardianship proceeding.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also revised subsection (b) to delete “or any person interested in his welfare,” delete “petition” and replace it with “make a request,” add “from the court, and delete “or resignation.” The intention of the amendment to subsection (b) was to allow only the ward to make a request for an order from the court to request that he is no longer incapacitated and to remove the guardian, which request may be made by informal letter to the court or judge.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also revised subsection (c) to add “or request” after petition.  The 2010 amendment to subsection (c) was to make a corresponding reference to a “request” as referred to in subsection (b).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309.  Notices in guardianship proceedings.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to add “that is properly commenced by filing and service of the summons and petition”, delete “notice of hearing,” adding “the following persons,” deleting “given to each of the following”, and adding “properly served.” The intention of the amendment to subsection (A) was to clarify that a summons and petition are required to commence a formal proceeding, including a formal proceeding for guardianship, and also that certain persons must be properly served with the summons and petition.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and Rules 1 and 81, SCRCP.  The 2010 amendment also revised subsection (B) to delete “must be served personally on the alleged incapacitated person and his spouse and parents if they are found within the state.  Notice to the spouse and parents, if they cannot be found within the State, and to all other persons except the alleged incapacitated person” and add “of hearing” to clarify that the notice, which is a notice of hearing, must be given as referred to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401.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310.  Temporary guardians.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(A)(3) and (B)(2) to add “petition or” before notice and add “petition and” in subsection (D).  The intention of the 2010 amendment was to clarify that a summons and petition are required to commence a formal proceeding, including a formal proceeding for temporary guardianship.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and Rules 1 and 81, SCRCP.  The 2010 amendment also revised subsection (C) by deleting “If” at the beginning and replacing it with “The court may itself exercise the power of temporary guardian, with or without petition or notice, if,” deleting “then the court may itself exercise the power of a temporary guardian, with or without notice” from subsection (C)(4), and renumbering (C).  The intention of the latter amendment was to allow the court, with or without petition or notice, to appoint and exercise the power of a temporary guardian, if the court makes certain emergency preliminary findings.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401. Protective proceedings.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the first sentence in this section to delete “Upon” and replace it with “After service of the summons and,” delete “after” and “and,” add “of” to clarify that a summons and petition are required to commence a formal proceeding, including a formal proceeding for appointment of a conservator or other protective order.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402.  Protective proceedings; jurisdiction of affairs of protected persons.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the first sentence to delete “notice” and replace it with “the summons and petition,” add “summons and,” delete “is” and replace it with “are” to clarify that a summons and petition are required to commence a formal proceeding, including a formal proceeding for appointment of a conservator or other protective order.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405.  Notice.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extensively revised the first sentence of subsection (a) to delete “On a” and replace it with “After filing of the summons and the,” delete “notice of the proceedings at least twenty days before the date of hearing” and replace it with “the summons and petition,” revise the second sentence of subsection (a) to add “following persons also must be properly served: the,” and delete the remainder of the second sentence after “parents,” and add “and other persons as the court may direct.” The 2010 amendment also revised subsection (b) to add “hearing on,” “the person to be protected, to,” delete “Except as otherwise provided in (a), notice shall” and replace it with “Notice must.” The intention of the foregoing amendments was to clarify that a summons and petition are required to commence a formal proceeding, including a formal proceeding for appointment of a conservator or other protective order.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and Rules 1 and 81, SCRCP.  The 2010 amendment also added a new last sentence regarding waiver by the person to be protected.  The latter amendment and new sentence were added to clarify and provide that waiver of notice of hearing by the protected person is not effective unless he attends the hearing or waiver of notice is given by his attorney.</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407.  Procedure concerning hearing and order on original petition.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subsections (a) and (b) to delete certain language and replace it with language to clarify that a summons and petition are required to commence a formal proceeding, including a formal proceeding seeking appointment of a conservator or other protective order.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411. Bond.</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move the term “shall” in the first sentence, which made no substantive change.  The 2010 amendment also revised the next to last sentence to delete “On petition” and replace it with “Upon application.” The 2010 amendment also added a new sentence at the end allowing the conservator or another interested person to make application for an informal proceeding regarding bond and also to allow the court on its own motion to pursue matters regarding the bond as set forth in this section.  Unlike a petition, an application does not require a summons or petition.  See 2010 amendments to certain definitions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w:t>
      </w:r>
      <w:r>
        <w:rPr>
          <w:rFonts w:cs="Times New Roman"/>
          <w:color w:val="000000" w:themeColor="text1"/>
          <w:u w:color="000000" w:themeColor="text1"/>
        </w:rPr>
        <w: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412.  Terms and requirements of bonds.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(a)(3) to delete “On” at the beginning and replace it with “After service of a summons and” to clarify that a summons and petition are required to commence a formal proceeding , including a formal proceeding regarding bond matters as set forth in this section.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The 2010 amendment also revised subsection (a)(3) to add “or upon the court’s own motion” so the court could pursue such a proceeding by way of motion.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416.  Petitions for orders subsequent to appointment.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(a) to delete “Any” and replace it with “Upon filing a petition and summons with the appointing court” and also delete “file a petition in the appointment court in order to clarify that a summons and petition are required to commence a formal proceeding, including formal proceeding by an interested person for certain requests subsequent to appointment as set forth in this section.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The 2010 amendment also revised subsection (b) by deleting “A conservator may petition” and replacing it with “Upon application to,” deleting “for” and adding “a conservator may request,” and adding a new sentence at the end of subsection (b).  The latter amendment was intended to allow the conservator to request instructions concerning his fiduciary responsibility by making application and clarifies the effect of a denial by the court.  The 2010 amendment also revised subsection (c) to provide for notice and hearing as the court may direct.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419.  Accounts.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by changing “must” to “shall” in the first sentence, deleting “Subject to appeal within the same time permitted” and replacing it with “Upon the filing and service of summons and petition for approval of accounting,”  as well as certain grammatical changes thereafter to clarify that a summons and petition are required to commence a formal proceeding, including a formal proceeding for court approval of an intermediate and final account.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428.  Claims against protected person; enforcement.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renumber and also clarify that a summons and petition are required to commence a formal proceeding, including a formal proceeding seeking allowance of a claim before it is barred by the applicable statute of limitations.  See 2010 amendments to ce</w:t>
      </w:r>
      <w:r>
        <w:rPr>
          <w:rFonts w:cs="Times New Roman"/>
          <w:color w:val="000000" w:themeColor="text1"/>
          <w:u w:color="000000" w:themeColor="text1"/>
        </w:rPr>
        <w:t xml:space="preserve">rtain definitions in S.C. Code </w:t>
      </w:r>
      <w:r w:rsidRPr="00AB6FF7">
        <w:rPr>
          <w:rFonts w:cs="Times New Roman"/>
          <w:color w:val="000000" w:themeColor="text1"/>
          <w:u w:color="000000" w:themeColor="text1"/>
        </w:rPr>
        <w:t>§62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430.  Termination of proceeding.</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essentially rewrote this section to divide it into two subsections.  Subsection (A) clarifies that a summons and petition are required to commence a formal proceeding, including a formal proceeding to terminate the conservatorship when the disability of the protected person has ceased and procedure for same.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304, and Rules 1 and 81, SCRCP.  Subsection (B) allows the protected person, his personal representative, or the conservator to terminate the conservatorship by way of an application, instead of a petition, when the protected person has attained his majority or if the protected person is deceased.  Unlike a petition, an application does not require a summons and petition.  See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201(1)</w:t>
      </w:r>
      <w:r>
        <w:rPr>
          <w:rFonts w:cs="Times New Roman"/>
          <w:color w:val="000000" w:themeColor="text1"/>
          <w:u w:color="000000" w:themeColor="text1"/>
        </w:rPr>
        <w: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501. When power of attorney not affected by disability.</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subsection (B) to require “petitioning” rather than “applying” to the court as the method for a person or his representative to have a guardian or conservator appointed.  A petition req</w:t>
      </w:r>
      <w:r>
        <w:rPr>
          <w:rFonts w:cs="Times New Roman"/>
          <w:color w:val="000000" w:themeColor="text1"/>
          <w:u w:color="000000" w:themeColor="text1"/>
        </w:rPr>
        <w:t>uires a summons.  See §62</w:t>
      </w:r>
      <w:r>
        <w:rPr>
          <w:rFonts w:cs="Times New Roman"/>
          <w:color w:val="000000" w:themeColor="text1"/>
          <w:u w:color="000000" w:themeColor="text1"/>
        </w:rPr>
        <w:noBreakHyphen/>
        <w:t>1</w:t>
      </w:r>
      <w:r>
        <w:rPr>
          <w:rFonts w:cs="Times New Roman"/>
          <w:color w:val="000000" w:themeColor="text1"/>
          <w:u w:color="000000" w:themeColor="text1"/>
        </w:rPr>
        <w:noBreakHyphen/>
        <w:t>201</w:t>
      </w:r>
      <w:r w:rsidRPr="00AB6FF7">
        <w:rPr>
          <w:rFonts w:cs="Times New Roman"/>
          <w:color w:val="000000" w:themeColor="text1"/>
          <w:u w:color="000000" w:themeColor="text1"/>
        </w:rPr>
        <w:t>(15) and (31)</w:t>
      </w:r>
      <w:r>
        <w:rPr>
          <w:rFonts w:cs="Times New Roman"/>
          <w:color w:val="000000" w:themeColor="text1"/>
          <w:u w:color="000000" w:themeColor="text1"/>
        </w:rPr>
        <w: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504.  Health care power of attorney; definitions; form.</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subsection (H) to allow the health care provider, nursing care provider, agent, or other interested person to “apply,” rather than “petition,” the probate court for an order.  An “application” is defined in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201(1) and does not require a summons or petition.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604.  Persons who may file petition for appointment.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clarify that a summons and petition are required to commence a formal proceeding, including a proceeding for appointment of a guardian under the Uniform Veteran’s Guardianship Act as contained in Part 6.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5</w:t>
      </w:r>
      <w:r w:rsidRPr="00AB6FF7">
        <w:rPr>
          <w:rFonts w:cs="Times New Roman"/>
          <w:color w:val="000000" w:themeColor="text1"/>
          <w:u w:color="000000" w:themeColor="text1"/>
        </w:rPr>
        <w:noBreakHyphen/>
        <w:t>608.  Notice of petition.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revised this section to clarify that a summons and petition are required in a formal proceeding, including a proceeding for appointment of a guardian under the Uniform Veteran’s Guardianship Act as contained in Part 6.  See 2010 amendments to certain definitions in S.C. Code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201 and also see §§14</w:t>
      </w:r>
      <w:r w:rsidRPr="00AB6FF7">
        <w:rPr>
          <w:rFonts w:cs="Times New Roman"/>
          <w:color w:val="000000" w:themeColor="text1"/>
          <w:u w:color="000000" w:themeColor="text1"/>
        </w:rPr>
        <w:noBreakHyphen/>
        <w:t>23</w:t>
      </w:r>
      <w:r w:rsidRPr="00AB6FF7">
        <w:rPr>
          <w:rFonts w:cs="Times New Roman"/>
          <w:color w:val="000000" w:themeColor="text1"/>
          <w:u w:color="000000" w:themeColor="text1"/>
        </w:rPr>
        <w:noBreakHyphen/>
        <w:t>280, 62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304, and Rules 1 and 81, SCRCP.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3</w:t>
      </w:r>
      <w:r w:rsidRPr="00AB6FF7">
        <w:rPr>
          <w:rFonts w:cs="Times New Roman"/>
          <w:color w:val="000000" w:themeColor="text1"/>
          <w:u w:color="000000" w:themeColor="text1"/>
        </w:rPr>
        <w:noBreakHyphen/>
        <w:t>703.  General duties; relation and liability to persons interested in estate; standing to sue.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(a), changed the reference from 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933 to 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804, which was made necessary by the adoption of the South Carolina Trust Code.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105.  Default and mandatory rules.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(b), added a new subsection (b)(6) to provide that the limitations imposed by 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 xml:space="preserve">602(e) on an agent’s ability to alter a settlor’s existing estate plan will prevail over the trust terms. This was added to </w:t>
      </w:r>
      <w:r>
        <w:rPr>
          <w:rFonts w:cs="Times New Roman"/>
          <w:color w:val="000000" w:themeColor="text1"/>
          <w:u w:color="000000" w:themeColor="text1"/>
        </w:rPr>
        <w:t xml:space="preserve">Section </w:t>
      </w:r>
      <w:r w:rsidRPr="00AB6FF7">
        <w:rPr>
          <w:rFonts w:cs="Times New Roman"/>
          <w:color w:val="000000" w:themeColor="text1"/>
          <w:u w:color="000000" w:themeColor="text1"/>
        </w:rPr>
        <w:t>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 xml:space="preserve">105(b) to synthesize it with 602(e) because while 602(e) authorizes a settlor’s agent to revoke, amend or make distributions from a revocable trust, as a matter of policy it specifically prohibits the agent from altering the designation of beneficiaries. The remaining subsections were renumbered accordingly.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201.  Role of court in administration of trust.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(a), changed the reference from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302(c) to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302(d), which was made necessary by the adoption of the South Carolina Trust Code.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303.  Representation by fiduciaries and parents.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in subsection (a)(6), deleted the term ‘parent’ and replaced it with the term ‘person’ so that it is consistent with the remainder of the </w:t>
      </w:r>
      <w:r>
        <w:rPr>
          <w:rFonts w:cs="Times New Roman"/>
          <w:color w:val="000000" w:themeColor="text1"/>
          <w:u w:color="000000" w:themeColor="text1"/>
        </w:rPr>
        <w:t>s</w:t>
      </w:r>
      <w:r w:rsidRPr="00AB6FF7">
        <w:rPr>
          <w:rFonts w:cs="Times New Roman"/>
          <w:color w:val="000000" w:themeColor="text1"/>
          <w:u w:color="000000" w:themeColor="text1"/>
        </w:rPr>
        <w:t>ection and with Section 62</w:t>
      </w:r>
      <w:r w:rsidRPr="00AB6FF7">
        <w:rPr>
          <w:rFonts w:cs="Times New Roman"/>
          <w:color w:val="000000" w:themeColor="text1"/>
          <w:u w:color="000000" w:themeColor="text1"/>
        </w:rPr>
        <w:noBreakHyphen/>
        <w:t>1</w:t>
      </w:r>
      <w:r w:rsidRPr="00AB6FF7">
        <w:rPr>
          <w:rFonts w:cs="Times New Roman"/>
          <w:color w:val="000000" w:themeColor="text1"/>
          <w:u w:color="000000" w:themeColor="text1"/>
        </w:rPr>
        <w:noBreakHyphen/>
        <w:t xml:space="preserve">403, and deleted the term ‘child’ and replaced it with the term ‘issue’ to be more broad and inclusive, as intended by the </w:t>
      </w:r>
      <w:r>
        <w:rPr>
          <w:rFonts w:cs="Times New Roman"/>
          <w:color w:val="000000" w:themeColor="text1"/>
          <w:u w:color="000000" w:themeColor="text1"/>
        </w:rPr>
        <w:t>s</w:t>
      </w:r>
      <w:r w:rsidRPr="00AB6FF7">
        <w:rPr>
          <w:rFonts w:cs="Times New Roman"/>
          <w:color w:val="000000" w:themeColor="text1"/>
          <w:u w:color="000000" w:themeColor="text1"/>
        </w:rPr>
        <w:t>ection.</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305.  Appointment of representative.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changed the term ‘ascertained’ to the term ‘unascertained’.</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414.  Modification or termination of uneconomic trust.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in subsection (a) and (c), clarifies and confirms that court approval is not required under the circumstances described in subsection (a).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505.  Creditors’ claims against settlor.</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(a), changed the phrasing of the subsection to clarify the exemption language.  In subsection (b), ascertainable standard is re</w:t>
      </w:r>
      <w:r w:rsidRPr="00AB6FF7">
        <w:rPr>
          <w:rFonts w:cs="Times New Roman"/>
          <w:color w:val="000000" w:themeColor="text1"/>
          <w:u w:color="000000" w:themeColor="text1"/>
        </w:rPr>
        <w:noBreakHyphen/>
        <w:t>worded to read ‘health, education maintenance or support’ rather than ‘and support’.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Further, the references to “subsection (b)(1)” in the South Carolina Comment should be changed to “subsection (b)” except where it is used in regard to UTC subsection (b)(1).  The change affects the first and fourth references to (b)(1) in the second paragraph of the South Carolina Comment.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604.  Limitation on action contesting validity of revocable trust; distribution of trust property.</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 xml:space="preserve">The 2010 amendment changed the time period for contesting the validity of a trust instrument from 60 days to 120 days in subsection (a)(2) and (b)(2).  </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change of the time period is intended to be prospective, rather than retroactive.  Any period of limitation which had commenced to run before the effective date would continue to apply.</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709.  Reimbursement of expenses.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added a new subsection (c) to clarify that a prospective trustee may be paid from trust assets for investigation into serving as a trustee.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814.  Discretionary powers; tax savings.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(b), corrected a typographical error by changing the reference from subsection (d) to subsection (c).</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902.  Definitions.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(9), changed the phrasing of the definition but made no substantive changes.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903.  Allocation of receipts and disbursements.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(A), corrected a typographical error by changing the term ‘and’ to the term ‘through’.</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904.  Adjustments between principal and income.</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(B)(7), corrected a typographical error by deleting the phrase “, or prohibit him from,”.</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933.  Uniform Prudent Investor Act.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The 2010 amendment, in subsection (C)(3), changed the phrasing of the subsection to clarify that the reasonable care, skill and caution standard is superimposed on the trustee’s considerations.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A0F25">
        <w:rPr>
          <w:rFonts w:cs="Times New Roman"/>
          <w:b/>
          <w:color w:val="000000" w:themeColor="text1"/>
          <w:u w:color="000000" w:themeColor="text1"/>
        </w:rPr>
        <w:t>South Carolina Comments</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B6FF7">
        <w:rPr>
          <w:rFonts w:cs="Times New Roman"/>
          <w:color w:val="000000" w:themeColor="text1"/>
          <w:u w:color="000000" w:themeColor="text1"/>
        </w:rPr>
        <w:t>Section 62</w:t>
      </w:r>
      <w:r w:rsidRPr="00AB6FF7">
        <w:rPr>
          <w:rFonts w:cs="Times New Roman"/>
          <w:color w:val="000000" w:themeColor="text1"/>
          <w:u w:color="000000" w:themeColor="text1"/>
        </w:rPr>
        <w:noBreakHyphen/>
        <w:t>7</w:t>
      </w:r>
      <w:r w:rsidRPr="00AB6FF7">
        <w:rPr>
          <w:rFonts w:cs="Times New Roman"/>
          <w:color w:val="000000" w:themeColor="text1"/>
          <w:u w:color="000000" w:themeColor="text1"/>
        </w:rPr>
        <w:noBreakHyphen/>
        <w:t>1013.  Certification of trust.</w:t>
      </w: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6FF7">
        <w:rPr>
          <w:rFonts w:cs="Times New Roman"/>
          <w:color w:val="000000" w:themeColor="text1"/>
          <w:u w:color="000000" w:themeColor="text1"/>
        </w:rPr>
        <w:t>The 2010 amendment deleted the reference in former subsection (a)(7) to a taxpayer identification number.  Also, the 2010 amendment added a new subsection (j) to require that in transactions involving real property the Certification of Trust must be in recordable form and renumbered the remaining subsections accordingly.  Further, the 2010 amendment changed the phrasing of new subsection (k) to require that the Certification of Trust be in a form substantially the same as the model form.”</w:t>
      </w: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6158A" w:rsidRPr="002B7700"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158A" w:rsidRPr="00AB6FF7" w:rsidRDefault="0036158A"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6FF7">
        <w:rPr>
          <w:rFonts w:cs="Times New Roman"/>
        </w:rPr>
        <w:t>SECTION</w:t>
      </w:r>
      <w:r w:rsidRPr="00AB6FF7">
        <w:rPr>
          <w:rFonts w:cs="Times New Roman"/>
        </w:rPr>
        <w:tab/>
        <w:t>3.</w:t>
      </w:r>
      <w:r w:rsidRPr="00AB6FF7">
        <w:rPr>
          <w:rFonts w:cs="Times New Roman"/>
        </w:rPr>
        <w:tab/>
        <w:t>This act takes effect upon approval by the Governor.</w:t>
      </w:r>
    </w:p>
    <w:p w:rsidR="0036158A" w:rsidRDefault="0036158A" w:rsidP="0036158A">
      <w:pPr>
        <w:tabs>
          <w:tab w:val="left" w:pos="1440"/>
          <w:tab w:val="left" w:pos="1800"/>
          <w:tab w:val="left" w:pos="2880"/>
        </w:tabs>
        <w:rPr>
          <w:color w:val="000000" w:themeColor="text1"/>
        </w:rPr>
      </w:pPr>
    </w:p>
    <w:p w:rsidR="0036158A" w:rsidRDefault="0036158A" w:rsidP="0036158A">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36158A" w:rsidRDefault="0036158A" w:rsidP="0036158A">
      <w:pPr>
        <w:tabs>
          <w:tab w:val="left" w:pos="1440"/>
          <w:tab w:val="left" w:pos="1800"/>
          <w:tab w:val="left" w:pos="2880"/>
        </w:tabs>
        <w:rPr>
          <w:color w:val="000000" w:themeColor="text1"/>
        </w:rPr>
      </w:pPr>
    </w:p>
    <w:p w:rsidR="0036158A" w:rsidRDefault="0036158A" w:rsidP="0036158A">
      <w:pPr>
        <w:tabs>
          <w:tab w:val="left" w:pos="1440"/>
          <w:tab w:val="left" w:pos="1800"/>
          <w:tab w:val="left" w:pos="2880"/>
        </w:tabs>
        <w:rPr>
          <w:color w:val="000000" w:themeColor="text1"/>
        </w:rPr>
      </w:pPr>
      <w:r>
        <w:rPr>
          <w:color w:val="000000" w:themeColor="text1"/>
        </w:rPr>
        <w:t>Approved the 16</w:t>
      </w:r>
      <w:r w:rsidRPr="00BF24FF">
        <w:rPr>
          <w:color w:val="000000" w:themeColor="text1"/>
          <w:vertAlign w:val="superscript"/>
        </w:rPr>
        <w:t>th</w:t>
      </w:r>
      <w:r>
        <w:rPr>
          <w:color w:val="000000" w:themeColor="text1"/>
        </w:rPr>
        <w:t xml:space="preserve"> day of March, 2011. </w:t>
      </w:r>
    </w:p>
    <w:p w:rsidR="0036158A" w:rsidRDefault="0036158A" w:rsidP="0036158A">
      <w:pPr>
        <w:tabs>
          <w:tab w:val="left" w:pos="1440"/>
          <w:tab w:val="left" w:pos="1800"/>
          <w:tab w:val="left" w:pos="2880"/>
        </w:tabs>
        <w:jc w:val="center"/>
        <w:rPr>
          <w:color w:val="000000" w:themeColor="text1"/>
        </w:rPr>
      </w:pPr>
    </w:p>
    <w:p w:rsidR="0036158A" w:rsidRDefault="0036158A" w:rsidP="0036158A">
      <w:pPr>
        <w:tabs>
          <w:tab w:val="left" w:pos="1440"/>
          <w:tab w:val="left" w:pos="1800"/>
          <w:tab w:val="left" w:pos="2880"/>
        </w:tabs>
        <w:jc w:val="center"/>
        <w:rPr>
          <w:color w:val="000000" w:themeColor="text1"/>
        </w:rPr>
      </w:pPr>
      <w:r>
        <w:rPr>
          <w:color w:val="000000" w:themeColor="text1"/>
        </w:rPr>
        <w:t>__________</w:t>
      </w:r>
    </w:p>
    <w:p w:rsidR="008836A5" w:rsidRPr="002A4E0F" w:rsidRDefault="008836A5" w:rsidP="00361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4E0F" w:rsidSect="00D7752F">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89D" w:rsidRDefault="0014589D" w:rsidP="007D5FAC">
      <w:r>
        <w:separator/>
      </w:r>
    </w:p>
  </w:endnote>
  <w:endnote w:type="continuationSeparator" w:id="0">
    <w:p w:rsidR="0014589D" w:rsidRDefault="001458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2F" w:rsidRPr="00D7752F" w:rsidRDefault="00D7752F" w:rsidP="00D7752F">
    <w:pPr>
      <w:pStyle w:val="Footer"/>
      <w:tabs>
        <w:tab w:val="clear" w:pos="4680"/>
        <w:tab w:val="clear" w:pos="9360"/>
        <w:tab w:val="center" w:pos="3168"/>
      </w:tabs>
      <w:spacing w:before="120"/>
    </w:pPr>
    <w:r>
      <w:tab/>
    </w:r>
    <w:r w:rsidR="000111D8">
      <w:fldChar w:fldCharType="begin"/>
    </w:r>
    <w:r w:rsidR="00F738E5">
      <w:instrText xml:space="preserve"> PAGE  \* MERGEFORMAT </w:instrText>
    </w:r>
    <w:r w:rsidR="000111D8">
      <w:fldChar w:fldCharType="separate"/>
    </w:r>
    <w:r w:rsidR="0036158A">
      <w:rPr>
        <w:noProof/>
      </w:rPr>
      <w:t>20</w:t>
    </w:r>
    <w:r w:rsidR="000111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2F" w:rsidRDefault="00D7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89D" w:rsidRDefault="0014589D" w:rsidP="007D5FAC">
      <w:r>
        <w:separator/>
      </w:r>
    </w:p>
  </w:footnote>
  <w:footnote w:type="continuationSeparator" w:id="0">
    <w:p w:rsidR="0014589D" w:rsidRDefault="001458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213"/>
    <w:docVar w:name="ActSecretary" w:val="Pair"/>
    <w:docVar w:name="ActSIdno" w:val="(461)  213SD11"/>
    <w:docVar w:name="clipname" w:val="213SD11"/>
    <w:docVar w:name="dvBillNumber" w:val="213"/>
    <w:docVar w:name="dvBillNumberPrefix" w:val="S"/>
    <w:docVar w:name="dvOriginalBody" w:val="Senate"/>
    <w:docVar w:name="OrigSENATEBillNo" w:val="213"/>
    <w:docVar w:name="SENATEACTFULLPATH" w:val="L:\COUNCIL\ACTS\213SD11.DOCX"/>
    <w:docVar w:name="WhatActtype" w:val="AN ACT"/>
  </w:docVars>
  <w:rsids>
    <w:rsidRoot w:val="00C233A5"/>
    <w:rsid w:val="00002DE0"/>
    <w:rsid w:val="000111D8"/>
    <w:rsid w:val="00020349"/>
    <w:rsid w:val="00021B0B"/>
    <w:rsid w:val="00030487"/>
    <w:rsid w:val="000349BB"/>
    <w:rsid w:val="00040C05"/>
    <w:rsid w:val="0004579B"/>
    <w:rsid w:val="00051B4F"/>
    <w:rsid w:val="00055653"/>
    <w:rsid w:val="000673E4"/>
    <w:rsid w:val="0007088D"/>
    <w:rsid w:val="000731E9"/>
    <w:rsid w:val="00074565"/>
    <w:rsid w:val="00076A1A"/>
    <w:rsid w:val="00077DA3"/>
    <w:rsid w:val="00081300"/>
    <w:rsid w:val="00085C37"/>
    <w:rsid w:val="00086E11"/>
    <w:rsid w:val="00092ADB"/>
    <w:rsid w:val="00092EE6"/>
    <w:rsid w:val="00096A9B"/>
    <w:rsid w:val="00096BDA"/>
    <w:rsid w:val="000A6151"/>
    <w:rsid w:val="000A6BCA"/>
    <w:rsid w:val="000B03AD"/>
    <w:rsid w:val="000B316D"/>
    <w:rsid w:val="000B47C9"/>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589D"/>
    <w:rsid w:val="001519E2"/>
    <w:rsid w:val="00153EA6"/>
    <w:rsid w:val="001626DB"/>
    <w:rsid w:val="00170CC0"/>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4B8"/>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D05"/>
    <w:rsid w:val="00290B61"/>
    <w:rsid w:val="00291330"/>
    <w:rsid w:val="00291CD5"/>
    <w:rsid w:val="00291CF3"/>
    <w:rsid w:val="00293450"/>
    <w:rsid w:val="00294396"/>
    <w:rsid w:val="00296B4D"/>
    <w:rsid w:val="002A4E0F"/>
    <w:rsid w:val="002A6880"/>
    <w:rsid w:val="002A7F6D"/>
    <w:rsid w:val="002B7700"/>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158A"/>
    <w:rsid w:val="00364D3F"/>
    <w:rsid w:val="00366494"/>
    <w:rsid w:val="00370DA1"/>
    <w:rsid w:val="00372564"/>
    <w:rsid w:val="00372FF8"/>
    <w:rsid w:val="003762ED"/>
    <w:rsid w:val="0038005A"/>
    <w:rsid w:val="003803CD"/>
    <w:rsid w:val="00381655"/>
    <w:rsid w:val="00392293"/>
    <w:rsid w:val="0039655A"/>
    <w:rsid w:val="00396C58"/>
    <w:rsid w:val="003A6D96"/>
    <w:rsid w:val="003A7517"/>
    <w:rsid w:val="003B1A01"/>
    <w:rsid w:val="003B2E6E"/>
    <w:rsid w:val="003B355D"/>
    <w:rsid w:val="003B6BB7"/>
    <w:rsid w:val="003B746E"/>
    <w:rsid w:val="003C030C"/>
    <w:rsid w:val="003D2A73"/>
    <w:rsid w:val="00400828"/>
    <w:rsid w:val="00401B56"/>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0F8E"/>
    <w:rsid w:val="004B1DA6"/>
    <w:rsid w:val="004B27E8"/>
    <w:rsid w:val="004B41E5"/>
    <w:rsid w:val="004C115D"/>
    <w:rsid w:val="004C190F"/>
    <w:rsid w:val="004D29AD"/>
    <w:rsid w:val="004E275E"/>
    <w:rsid w:val="004E6C25"/>
    <w:rsid w:val="004E747B"/>
    <w:rsid w:val="004E7E53"/>
    <w:rsid w:val="004F0258"/>
    <w:rsid w:val="004F0E6F"/>
    <w:rsid w:val="004F1369"/>
    <w:rsid w:val="004F446B"/>
    <w:rsid w:val="004F4494"/>
    <w:rsid w:val="004F4608"/>
    <w:rsid w:val="004F5867"/>
    <w:rsid w:val="004F6446"/>
    <w:rsid w:val="005065EC"/>
    <w:rsid w:val="005208D0"/>
    <w:rsid w:val="00522B8D"/>
    <w:rsid w:val="00530D7F"/>
    <w:rsid w:val="00531A4F"/>
    <w:rsid w:val="005325C5"/>
    <w:rsid w:val="0053326B"/>
    <w:rsid w:val="005352AA"/>
    <w:rsid w:val="0053576C"/>
    <w:rsid w:val="00540324"/>
    <w:rsid w:val="0054323B"/>
    <w:rsid w:val="005515CE"/>
    <w:rsid w:val="00556774"/>
    <w:rsid w:val="00556D79"/>
    <w:rsid w:val="00557F3A"/>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181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44A1"/>
    <w:rsid w:val="0063724D"/>
    <w:rsid w:val="0064018A"/>
    <w:rsid w:val="00641A70"/>
    <w:rsid w:val="00643998"/>
    <w:rsid w:val="00655550"/>
    <w:rsid w:val="00657AB1"/>
    <w:rsid w:val="00663AC3"/>
    <w:rsid w:val="00665BFD"/>
    <w:rsid w:val="00672966"/>
    <w:rsid w:val="006750A0"/>
    <w:rsid w:val="00690F2C"/>
    <w:rsid w:val="00690F99"/>
    <w:rsid w:val="00691B24"/>
    <w:rsid w:val="00693C62"/>
    <w:rsid w:val="00696C4D"/>
    <w:rsid w:val="00696F5B"/>
    <w:rsid w:val="006A4214"/>
    <w:rsid w:val="006A5B40"/>
    <w:rsid w:val="006A65C8"/>
    <w:rsid w:val="006A6F1D"/>
    <w:rsid w:val="006B263A"/>
    <w:rsid w:val="006B4FA6"/>
    <w:rsid w:val="006C7535"/>
    <w:rsid w:val="006C7D00"/>
    <w:rsid w:val="006C7DDE"/>
    <w:rsid w:val="006E160A"/>
    <w:rsid w:val="006F22C0"/>
    <w:rsid w:val="006F290C"/>
    <w:rsid w:val="007009F2"/>
    <w:rsid w:val="00704FF9"/>
    <w:rsid w:val="007052EC"/>
    <w:rsid w:val="00707063"/>
    <w:rsid w:val="007127A6"/>
    <w:rsid w:val="00731C9E"/>
    <w:rsid w:val="00733126"/>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E6129"/>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987"/>
    <w:rsid w:val="008E1BCF"/>
    <w:rsid w:val="008F4CA1"/>
    <w:rsid w:val="008F510F"/>
    <w:rsid w:val="008F5F0A"/>
    <w:rsid w:val="008F7D5B"/>
    <w:rsid w:val="00900319"/>
    <w:rsid w:val="0090133D"/>
    <w:rsid w:val="009057E7"/>
    <w:rsid w:val="009076FA"/>
    <w:rsid w:val="009112BB"/>
    <w:rsid w:val="00916EE8"/>
    <w:rsid w:val="0092121C"/>
    <w:rsid w:val="009218CD"/>
    <w:rsid w:val="009230AE"/>
    <w:rsid w:val="00937AF4"/>
    <w:rsid w:val="00940A90"/>
    <w:rsid w:val="00947070"/>
    <w:rsid w:val="00953BF7"/>
    <w:rsid w:val="009560AB"/>
    <w:rsid w:val="0096301E"/>
    <w:rsid w:val="009631DC"/>
    <w:rsid w:val="00971351"/>
    <w:rsid w:val="0097332E"/>
    <w:rsid w:val="00974FD7"/>
    <w:rsid w:val="00980444"/>
    <w:rsid w:val="00980567"/>
    <w:rsid w:val="00982E93"/>
    <w:rsid w:val="00990677"/>
    <w:rsid w:val="00994B01"/>
    <w:rsid w:val="00995D12"/>
    <w:rsid w:val="00997D30"/>
    <w:rsid w:val="009A31B6"/>
    <w:rsid w:val="009A5D8A"/>
    <w:rsid w:val="009B0FA5"/>
    <w:rsid w:val="009B6EA6"/>
    <w:rsid w:val="009C170D"/>
    <w:rsid w:val="009D0B32"/>
    <w:rsid w:val="009D75E7"/>
    <w:rsid w:val="009E1CA8"/>
    <w:rsid w:val="009F42DA"/>
    <w:rsid w:val="00A03978"/>
    <w:rsid w:val="00A050C0"/>
    <w:rsid w:val="00A062DB"/>
    <w:rsid w:val="00A14F94"/>
    <w:rsid w:val="00A22884"/>
    <w:rsid w:val="00A23CED"/>
    <w:rsid w:val="00A25E64"/>
    <w:rsid w:val="00A26387"/>
    <w:rsid w:val="00A3022E"/>
    <w:rsid w:val="00A450A2"/>
    <w:rsid w:val="00A46627"/>
    <w:rsid w:val="00A475E8"/>
    <w:rsid w:val="00A55E1B"/>
    <w:rsid w:val="00A61397"/>
    <w:rsid w:val="00A62F8F"/>
    <w:rsid w:val="00A64E80"/>
    <w:rsid w:val="00A73974"/>
    <w:rsid w:val="00A74007"/>
    <w:rsid w:val="00A96A62"/>
    <w:rsid w:val="00A9741D"/>
    <w:rsid w:val="00A9744F"/>
    <w:rsid w:val="00AA3A5F"/>
    <w:rsid w:val="00AA3FFC"/>
    <w:rsid w:val="00AA464A"/>
    <w:rsid w:val="00AA4D72"/>
    <w:rsid w:val="00AA616B"/>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4640"/>
    <w:rsid w:val="00BF1B60"/>
    <w:rsid w:val="00BF2034"/>
    <w:rsid w:val="00BF33CD"/>
    <w:rsid w:val="00BF352D"/>
    <w:rsid w:val="00BF6E92"/>
    <w:rsid w:val="00C0158B"/>
    <w:rsid w:val="00C02F6F"/>
    <w:rsid w:val="00C03629"/>
    <w:rsid w:val="00C04FCB"/>
    <w:rsid w:val="00C05A89"/>
    <w:rsid w:val="00C06FF3"/>
    <w:rsid w:val="00C1173A"/>
    <w:rsid w:val="00C12583"/>
    <w:rsid w:val="00C15148"/>
    <w:rsid w:val="00C216F6"/>
    <w:rsid w:val="00C2227D"/>
    <w:rsid w:val="00C230AF"/>
    <w:rsid w:val="00C233A5"/>
    <w:rsid w:val="00C30E1C"/>
    <w:rsid w:val="00C34674"/>
    <w:rsid w:val="00C3483A"/>
    <w:rsid w:val="00C45263"/>
    <w:rsid w:val="00C46AB4"/>
    <w:rsid w:val="00C47D42"/>
    <w:rsid w:val="00C55195"/>
    <w:rsid w:val="00C7071A"/>
    <w:rsid w:val="00C73A60"/>
    <w:rsid w:val="00C74282"/>
    <w:rsid w:val="00C74E9D"/>
    <w:rsid w:val="00C837F6"/>
    <w:rsid w:val="00C920F4"/>
    <w:rsid w:val="00C92B7D"/>
    <w:rsid w:val="00C92E2B"/>
    <w:rsid w:val="00C94E59"/>
    <w:rsid w:val="00C97CB8"/>
    <w:rsid w:val="00CA089D"/>
    <w:rsid w:val="00CA23B8"/>
    <w:rsid w:val="00CA4CD7"/>
    <w:rsid w:val="00CB12FE"/>
    <w:rsid w:val="00CC2825"/>
    <w:rsid w:val="00CC63FC"/>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2FD4"/>
    <w:rsid w:val="00D63C04"/>
    <w:rsid w:val="00D758B0"/>
    <w:rsid w:val="00D76225"/>
    <w:rsid w:val="00D7706E"/>
    <w:rsid w:val="00D7752F"/>
    <w:rsid w:val="00D80303"/>
    <w:rsid w:val="00D8576C"/>
    <w:rsid w:val="00D9130B"/>
    <w:rsid w:val="00D92268"/>
    <w:rsid w:val="00D94602"/>
    <w:rsid w:val="00D958BB"/>
    <w:rsid w:val="00DA1730"/>
    <w:rsid w:val="00DA77C1"/>
    <w:rsid w:val="00DB01BE"/>
    <w:rsid w:val="00DB1297"/>
    <w:rsid w:val="00DB24E3"/>
    <w:rsid w:val="00DC093F"/>
    <w:rsid w:val="00DC6CFE"/>
    <w:rsid w:val="00DD198F"/>
    <w:rsid w:val="00DD2595"/>
    <w:rsid w:val="00DD314B"/>
    <w:rsid w:val="00DD3B8D"/>
    <w:rsid w:val="00DD5167"/>
    <w:rsid w:val="00DD557D"/>
    <w:rsid w:val="00DD7776"/>
    <w:rsid w:val="00DF0E69"/>
    <w:rsid w:val="00DF741E"/>
    <w:rsid w:val="00E00FC9"/>
    <w:rsid w:val="00E02CA8"/>
    <w:rsid w:val="00E076BB"/>
    <w:rsid w:val="00E14905"/>
    <w:rsid w:val="00E25B03"/>
    <w:rsid w:val="00E27F54"/>
    <w:rsid w:val="00E32B53"/>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8E5"/>
    <w:rsid w:val="00F836F9"/>
    <w:rsid w:val="00F86999"/>
    <w:rsid w:val="00F90F11"/>
    <w:rsid w:val="00FA04AE"/>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A61172F9-81D2-4228-A006-8BB8BB21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775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349B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752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E46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26-11.docx" TargetMode="External"/><Relationship Id="rId13" Type="http://schemas.openxmlformats.org/officeDocument/2006/relationships/hyperlink" Target="file:///h:\hj%20archive\2011\02-09-11.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1\01-11-11.docx" TargetMode="External"/><Relationship Id="rId12" Type="http://schemas.openxmlformats.org/officeDocument/2006/relationships/hyperlink" Target="file:///h:\hj%20archive\2011\02-08-11.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213_20110203.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hj%20archive\2011\02-03-11.docx" TargetMode="External"/><Relationship Id="rId5" Type="http://schemas.openxmlformats.org/officeDocument/2006/relationships/endnotes" Target="endnotes.xml"/><Relationship Id="rId15" Type="http://schemas.openxmlformats.org/officeDocument/2006/relationships/hyperlink" Target="file:///p:\pprever\2011-12\213_20110126.docx" TargetMode="External"/><Relationship Id="rId10" Type="http://schemas.openxmlformats.org/officeDocument/2006/relationships/hyperlink" Target="file:///h:\sj%20archive\2011\02-01-11.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1\02-01-11.docx" TargetMode="External"/><Relationship Id="rId14" Type="http://schemas.openxmlformats.org/officeDocument/2006/relationships/hyperlink" Target="file:///p:\pprever\2011-12\213_201012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5685</Words>
  <Characters>31128</Characters>
  <Application>Microsoft Office Word</Application>
  <DocSecurity>4</DocSecurity>
  <Lines>856</Lines>
  <Paragraphs>224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213: Reporter's Comments for the Probate Code - South Carolina Legislature Online</dc:title>
  <dc:subject/>
  <dc:creator>SharonPair</dc:creator>
  <cp:keywords/>
  <dc:description/>
  <cp:lastModifiedBy>N Cumfer</cp:lastModifiedBy>
  <cp:revision>2</cp:revision>
  <cp:lastPrinted>2011-02-11T16:44:00Z</cp:lastPrinted>
  <dcterms:created xsi:type="dcterms:W3CDTF">2014-11-21T20:31:00Z</dcterms:created>
  <dcterms:modified xsi:type="dcterms:W3CDTF">2014-11-21T20:31:00Z</dcterms:modified>
</cp:coreProperties>
</file>