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7BB" w:rsidRDefault="001B37BB" w:rsidP="001B37BB">
      <w:pPr>
        <w:widowControl w:val="0"/>
        <w:jc w:val="center"/>
      </w:pPr>
      <w:bookmarkStart w:id="0" w:name="_GoBack"/>
      <w:bookmarkEnd w:id="0"/>
      <w:r w:rsidRPr="001B37BB">
        <w:rPr>
          <w:b/>
        </w:rPr>
        <w:t>South Carolina General Assembly</w:t>
      </w:r>
    </w:p>
    <w:p w:rsidR="001B37BB" w:rsidRDefault="001B37BB" w:rsidP="001B37BB">
      <w:pPr>
        <w:widowControl w:val="0"/>
        <w:jc w:val="center"/>
      </w:pPr>
      <w:r>
        <w:t>119th Session, 2011-2012</w:t>
      </w:r>
    </w:p>
    <w:p w:rsidR="001B37BB" w:rsidRDefault="001B37BB" w:rsidP="001B37BB">
      <w:pPr>
        <w:widowControl w:val="0"/>
      </w:pPr>
    </w:p>
    <w:p w:rsidR="001B37BB" w:rsidRDefault="001B37BB" w:rsidP="001B37BB">
      <w:pPr>
        <w:widowControl w:val="0"/>
        <w:rPr>
          <w:b/>
        </w:rPr>
      </w:pPr>
      <w:r w:rsidRPr="001B37BB">
        <w:rPr>
          <w:b/>
        </w:rPr>
        <w:t>S.</w:t>
      </w:r>
      <w:r>
        <w:rPr>
          <w:b/>
        </w:rPr>
        <w:t xml:space="preserve"> </w:t>
      </w:r>
      <w:r w:rsidRPr="001B37BB">
        <w:rPr>
          <w:b/>
        </w:rPr>
        <w:t>275</w:t>
      </w:r>
    </w:p>
    <w:p w:rsidR="001B37BB" w:rsidRDefault="001B37BB" w:rsidP="001B37BB">
      <w:pPr>
        <w:widowControl w:val="0"/>
        <w:rPr>
          <w:b/>
        </w:rPr>
      </w:pPr>
    </w:p>
    <w:p w:rsidR="001B37BB" w:rsidRDefault="001B37BB" w:rsidP="001B37BB">
      <w:pPr>
        <w:widowControl w:val="0"/>
      </w:pPr>
      <w:r w:rsidRPr="001B37BB">
        <w:rPr>
          <w:b/>
        </w:rPr>
        <w:t>STATUS INFORMATION</w:t>
      </w:r>
    </w:p>
    <w:p w:rsidR="001B37BB" w:rsidRDefault="001B37BB" w:rsidP="001B37BB">
      <w:pPr>
        <w:widowControl w:val="0"/>
      </w:pPr>
    </w:p>
    <w:p w:rsidR="001B37BB" w:rsidRDefault="001B37BB" w:rsidP="001B37BB">
      <w:pPr>
        <w:widowControl w:val="0"/>
      </w:pPr>
      <w:r>
        <w:t>General Bill</w:t>
      </w:r>
    </w:p>
    <w:p w:rsidR="001B37BB" w:rsidRDefault="001B37BB" w:rsidP="001B37BB">
      <w:pPr>
        <w:widowControl w:val="0"/>
      </w:pPr>
      <w:r>
        <w:t>Sponsors: Senator Rose</w:t>
      </w:r>
    </w:p>
    <w:p w:rsidR="001B37BB" w:rsidRDefault="001B37BB" w:rsidP="001B37BB">
      <w:pPr>
        <w:widowControl w:val="0"/>
      </w:pPr>
      <w:r>
        <w:t>Document Path: l:\s-res\mtr\031impo.ebd.mtr.docx</w:t>
      </w:r>
    </w:p>
    <w:p w:rsidR="001B37BB" w:rsidRDefault="001B37BB" w:rsidP="001B37BB">
      <w:pPr>
        <w:widowControl w:val="0"/>
      </w:pPr>
    </w:p>
    <w:p w:rsidR="00546AD1" w:rsidRDefault="00546AD1" w:rsidP="001B37BB">
      <w:pPr>
        <w:widowControl w:val="0"/>
      </w:pPr>
      <w:r>
        <w:t>Introduced in the Senate on January 11, 2011</w:t>
      </w:r>
    </w:p>
    <w:p w:rsidR="00546AD1" w:rsidRPr="00546AD1" w:rsidRDefault="00546AD1" w:rsidP="001B37BB">
      <w:pPr>
        <w:widowControl w:val="0"/>
      </w:pPr>
      <w:r>
        <w:t xml:space="preserve">Currently residing in the Senate Committee on </w:t>
      </w:r>
      <w:r w:rsidRPr="00546AD1">
        <w:rPr>
          <w:b/>
        </w:rPr>
        <w:t>Judiciary</w:t>
      </w:r>
    </w:p>
    <w:p w:rsidR="00546AD1" w:rsidRDefault="00546AD1" w:rsidP="001B37BB">
      <w:pPr>
        <w:widowControl w:val="0"/>
      </w:pPr>
    </w:p>
    <w:p w:rsidR="001B37BB" w:rsidRDefault="001B37BB" w:rsidP="001B37BB">
      <w:pPr>
        <w:widowControl w:val="0"/>
      </w:pPr>
      <w:r>
        <w:t xml:space="preserve">Summary: </w:t>
      </w:r>
      <w:r w:rsidR="00DC3933">
        <w:t>Automobile insurance</w:t>
      </w:r>
    </w:p>
    <w:p w:rsidR="001B37BB" w:rsidRDefault="001B37BB" w:rsidP="001B37BB">
      <w:pPr>
        <w:widowControl w:val="0"/>
      </w:pPr>
    </w:p>
    <w:p w:rsidR="001B37BB" w:rsidRDefault="001B37BB" w:rsidP="001B37BB">
      <w:pPr>
        <w:widowControl w:val="0"/>
      </w:pPr>
    </w:p>
    <w:p w:rsidR="001B37BB" w:rsidRDefault="001B37BB" w:rsidP="001B37BB">
      <w:pPr>
        <w:widowControl w:val="0"/>
        <w:tabs>
          <w:tab w:val="center" w:pos="590"/>
          <w:tab w:val="center" w:pos="1440"/>
          <w:tab w:val="left" w:pos="1872"/>
          <w:tab w:val="left" w:pos="9187"/>
        </w:tabs>
      </w:pPr>
      <w:r w:rsidRPr="001B37BB">
        <w:rPr>
          <w:b/>
        </w:rPr>
        <w:t>HISTORY OF LEGISLATIVE ACTIONS</w:t>
      </w:r>
    </w:p>
    <w:p w:rsidR="001B37BB" w:rsidRDefault="001B37BB" w:rsidP="001B37BB">
      <w:pPr>
        <w:widowControl w:val="0"/>
        <w:tabs>
          <w:tab w:val="center" w:pos="590"/>
          <w:tab w:val="center" w:pos="1440"/>
          <w:tab w:val="left" w:pos="1872"/>
          <w:tab w:val="left" w:pos="9187"/>
        </w:tabs>
      </w:pPr>
    </w:p>
    <w:p w:rsidR="001B37BB" w:rsidRPr="001B37BB" w:rsidRDefault="001B37BB" w:rsidP="001B37BB">
      <w:pPr>
        <w:widowControl w:val="0"/>
        <w:tabs>
          <w:tab w:val="center" w:pos="590"/>
          <w:tab w:val="center" w:pos="1440"/>
          <w:tab w:val="left" w:pos="1872"/>
          <w:tab w:val="left" w:pos="9187"/>
        </w:tabs>
      </w:pPr>
      <w:r w:rsidRPr="001B37BB">
        <w:rPr>
          <w:u w:val="single"/>
        </w:rPr>
        <w:tab/>
        <w:t>Date</w:t>
      </w:r>
      <w:r w:rsidRPr="001B37BB">
        <w:rPr>
          <w:u w:val="single"/>
        </w:rPr>
        <w:tab/>
        <w:t>Body</w:t>
      </w:r>
      <w:r w:rsidRPr="001B37BB">
        <w:rPr>
          <w:u w:val="single"/>
        </w:rPr>
        <w:tab/>
        <w:t>Action Description with journal page number</w:t>
      </w:r>
      <w:r w:rsidRPr="001B37BB">
        <w:rPr>
          <w:u w:val="single"/>
        </w:rPr>
        <w:tab/>
      </w:r>
    </w:p>
    <w:p w:rsidR="005341CA" w:rsidRDefault="005341CA" w:rsidP="005341CA">
      <w:pPr>
        <w:widowControl w:val="0"/>
        <w:tabs>
          <w:tab w:val="right" w:pos="1008"/>
          <w:tab w:val="left" w:pos="1152"/>
          <w:tab w:val="left" w:pos="1872"/>
          <w:tab w:val="left" w:pos="9187"/>
        </w:tabs>
        <w:ind w:left="2088" w:hanging="2088"/>
      </w:pPr>
      <w:r>
        <w:tab/>
        <w:t>12/15/2010</w:t>
      </w:r>
      <w:r>
        <w:tab/>
        <w:t>Senate</w:t>
      </w:r>
      <w:r>
        <w:tab/>
      </w:r>
      <w:r w:rsidRPr="0026406F">
        <w:t>Prefiled</w:t>
      </w:r>
    </w:p>
    <w:p w:rsidR="005341CA" w:rsidRDefault="005341CA" w:rsidP="005341CA">
      <w:pPr>
        <w:widowControl w:val="0"/>
        <w:tabs>
          <w:tab w:val="right" w:pos="1008"/>
          <w:tab w:val="left" w:pos="1152"/>
          <w:tab w:val="left" w:pos="1872"/>
          <w:tab w:val="left" w:pos="9187"/>
        </w:tabs>
        <w:ind w:left="2088" w:hanging="2088"/>
      </w:pPr>
      <w:r>
        <w:tab/>
        <w:t>12/15/2010</w:t>
      </w:r>
      <w:r>
        <w:tab/>
        <w:t>Senate</w:t>
      </w:r>
      <w:r>
        <w:tab/>
      </w:r>
      <w:r w:rsidRPr="0026406F">
        <w:t xml:space="preserve">Referred to Committee on </w:t>
      </w:r>
      <w:r w:rsidRPr="0026406F">
        <w:rPr>
          <w:b/>
        </w:rPr>
        <w:t>Judiciary</w:t>
      </w:r>
    </w:p>
    <w:p w:rsidR="005341CA" w:rsidRDefault="005341CA" w:rsidP="005341CA">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26406F">
        <w:t>(</w:t>
      </w:r>
      <w:hyperlink r:id="rId6" w:history="1">
        <w:r w:rsidRPr="0026406F">
          <w:rPr>
            <w:rStyle w:val="Hyperlink"/>
          </w:rPr>
          <w:t>Senate Journal</w:t>
        </w:r>
        <w:r w:rsidRPr="0026406F">
          <w:rPr>
            <w:rStyle w:val="Hyperlink"/>
          </w:rPr>
          <w:noBreakHyphen/>
          <w:t>page 125</w:t>
        </w:r>
      </w:hyperlink>
      <w:r w:rsidRPr="0026406F">
        <w:t>)</w:t>
      </w:r>
    </w:p>
    <w:p w:rsidR="005341CA" w:rsidRDefault="005341CA" w:rsidP="005341CA">
      <w:pPr>
        <w:widowControl w:val="0"/>
        <w:tabs>
          <w:tab w:val="right" w:pos="1008"/>
          <w:tab w:val="left" w:pos="1152"/>
          <w:tab w:val="left" w:pos="1872"/>
          <w:tab w:val="left" w:pos="9187"/>
        </w:tabs>
        <w:ind w:left="2088" w:hanging="2088"/>
      </w:pPr>
      <w:r>
        <w:tab/>
        <w:t>1/11/2011</w:t>
      </w:r>
      <w:r>
        <w:tab/>
        <w:t>Senate</w:t>
      </w:r>
      <w:r>
        <w:tab/>
      </w:r>
      <w:r w:rsidRPr="0026406F">
        <w:t>Ref</w:t>
      </w:r>
      <w:r>
        <w:t xml:space="preserve">erred to Committee on </w:t>
      </w:r>
      <w:r w:rsidRPr="0026406F">
        <w:rPr>
          <w:b/>
        </w:rPr>
        <w:t>Judiciary</w:t>
      </w:r>
      <w:r>
        <w:t xml:space="preserve"> </w:t>
      </w:r>
      <w:r w:rsidRPr="0026406F">
        <w:t>(</w:t>
      </w:r>
      <w:hyperlink r:id="rId7" w:history="1">
        <w:r w:rsidRPr="0026406F">
          <w:rPr>
            <w:rStyle w:val="Hyperlink"/>
          </w:rPr>
          <w:t>Senate Journal</w:t>
        </w:r>
        <w:r w:rsidRPr="0026406F">
          <w:rPr>
            <w:rStyle w:val="Hyperlink"/>
          </w:rPr>
          <w:noBreakHyphen/>
          <w:t>page 125</w:t>
        </w:r>
      </w:hyperlink>
      <w:r w:rsidRPr="0026406F">
        <w:t>)</w:t>
      </w:r>
    </w:p>
    <w:p w:rsidR="005341CA" w:rsidRDefault="005341CA" w:rsidP="005341CA">
      <w:pPr>
        <w:widowControl w:val="0"/>
        <w:tabs>
          <w:tab w:val="right" w:pos="1008"/>
          <w:tab w:val="left" w:pos="1152"/>
          <w:tab w:val="left" w:pos="1872"/>
          <w:tab w:val="left" w:pos="9187"/>
        </w:tabs>
        <w:ind w:left="2088" w:hanging="2088"/>
      </w:pPr>
      <w:r>
        <w:tab/>
        <w:t>1/9/2012</w:t>
      </w:r>
      <w:r>
        <w:tab/>
        <w:t>Senate</w:t>
      </w:r>
      <w:r>
        <w:tab/>
      </w:r>
      <w:r w:rsidRPr="0026406F">
        <w:t>Referred to Subcommittee: Knotts (ch), Massey, Coleman</w:t>
      </w:r>
    </w:p>
    <w:p w:rsidR="005341CA" w:rsidRDefault="005341CA" w:rsidP="005341CA">
      <w:pPr>
        <w:widowControl w:val="0"/>
        <w:tabs>
          <w:tab w:val="right" w:pos="1008"/>
          <w:tab w:val="left" w:pos="1152"/>
          <w:tab w:val="left" w:pos="1872"/>
          <w:tab w:val="left" w:pos="9187"/>
        </w:tabs>
        <w:ind w:left="2088" w:hanging="2088"/>
      </w:pPr>
    </w:p>
    <w:p w:rsidR="001B37BB" w:rsidRPr="001B37BB" w:rsidRDefault="001B37BB" w:rsidP="001B37BB">
      <w:pPr>
        <w:widowControl w:val="0"/>
        <w:tabs>
          <w:tab w:val="right" w:pos="1008"/>
          <w:tab w:val="left" w:pos="1152"/>
          <w:tab w:val="left" w:pos="1872"/>
          <w:tab w:val="left" w:pos="9187"/>
        </w:tabs>
        <w:ind w:left="2088" w:hanging="2088"/>
      </w:pPr>
    </w:p>
    <w:p w:rsidR="001B37BB" w:rsidRDefault="001B37BB" w:rsidP="001B37BB">
      <w:pPr>
        <w:widowControl w:val="0"/>
      </w:pPr>
      <w:r w:rsidRPr="001B37BB">
        <w:rPr>
          <w:b/>
        </w:rPr>
        <w:t>VERSIONS OF THIS BILL</w:t>
      </w:r>
    </w:p>
    <w:p w:rsidR="001B37BB" w:rsidRDefault="001B37BB" w:rsidP="001B37BB">
      <w:pPr>
        <w:widowControl w:val="0"/>
      </w:pPr>
    </w:p>
    <w:p w:rsidR="001B37BB" w:rsidRDefault="004C6182" w:rsidP="001B37BB">
      <w:pPr>
        <w:widowControl w:val="0"/>
      </w:pPr>
      <w:hyperlink r:id="rId8" w:history="1">
        <w:r w:rsidR="001B37BB">
          <w:rPr>
            <w:rStyle w:val="Hyperlink"/>
          </w:rPr>
          <w:t>12/15/2010</w:t>
        </w:r>
      </w:hyperlink>
    </w:p>
    <w:p w:rsidR="001B37BB" w:rsidRDefault="001B37BB" w:rsidP="001B37BB"/>
    <w:p w:rsidR="001B37BB" w:rsidRDefault="001B37BB" w:rsidP="001B37BB">
      <w:pPr>
        <w:sectPr w:rsidR="001B37BB" w:rsidSect="001B37B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F0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30F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A30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C92A99" w:rsidRPr="00323B43">
        <w:rPr>
          <w:color w:val="000000" w:themeColor="text1"/>
          <w:u w:color="000000" w:themeColor="text1"/>
        </w:rPr>
        <w:t>SECTION 56</w:t>
      </w:r>
      <w:r w:rsidR="00942C8E">
        <w:rPr>
          <w:color w:val="000000" w:themeColor="text1"/>
          <w:u w:color="000000" w:themeColor="text1"/>
        </w:rPr>
        <w:noBreakHyphen/>
      </w:r>
      <w:r w:rsidR="00C92A99" w:rsidRPr="00323B43">
        <w:rPr>
          <w:color w:val="000000" w:themeColor="text1"/>
          <w:u w:color="000000" w:themeColor="text1"/>
        </w:rPr>
        <w:t>10</w:t>
      </w:r>
      <w:r w:rsidR="00942C8E">
        <w:rPr>
          <w:color w:val="000000" w:themeColor="text1"/>
          <w:u w:color="000000" w:themeColor="text1"/>
        </w:rPr>
        <w:noBreakHyphen/>
      </w:r>
      <w:r w:rsidR="00C92A99">
        <w:rPr>
          <w:color w:val="000000" w:themeColor="text1"/>
          <w:u w:color="000000" w:themeColor="text1"/>
        </w:rPr>
        <w:t xml:space="preserve">225 </w:t>
      </w:r>
      <w:r>
        <w:rPr>
          <w:rFonts w:eastAsia="Times New Roman"/>
        </w:rPr>
        <w:t xml:space="preserve">OF THE 1976 CODE, RELATING TO PROOF OF FINANCIAL RESPONSIBILITY, TO PROVIDE THAT </w:t>
      </w:r>
      <w:r w:rsidR="00867B48">
        <w:rPr>
          <w:rFonts w:eastAsia="Times New Roman"/>
        </w:rPr>
        <w:t>A LAW ENFORCEMENT AGENCY MAY IMPOUND THE VEHICLE OF A PERSON CONVICTED</w:t>
      </w:r>
      <w:r w:rsidR="001B67CD">
        <w:rPr>
          <w:rFonts w:eastAsia="Times New Roman"/>
        </w:rPr>
        <w:t xml:space="preserve"> PURSUANT TO THE PROVIS</w:t>
      </w:r>
      <w:r w:rsidR="00867B48">
        <w:rPr>
          <w:rFonts w:eastAsia="Times New Roman"/>
        </w:rPr>
        <w:t xml:space="preserve">IONS OF </w:t>
      </w:r>
      <w:r w:rsidR="00C92A99">
        <w:rPr>
          <w:rFonts w:eastAsia="Times New Roman"/>
        </w:rPr>
        <w:t xml:space="preserve">THE </w:t>
      </w:r>
      <w:r w:rsidR="00867B48">
        <w:rPr>
          <w:rFonts w:eastAsia="Times New Roman"/>
        </w:rPr>
        <w:t xml:space="preserve">SECTION IF NO PROOF OF </w:t>
      </w:r>
      <w:r w:rsidR="00C92A99">
        <w:rPr>
          <w:rFonts w:eastAsia="Times New Roman"/>
        </w:rPr>
        <w:t>INSURANCE</w:t>
      </w:r>
      <w:r w:rsidR="00867B48">
        <w:rPr>
          <w:rFonts w:eastAsia="Times New Roman"/>
        </w:rPr>
        <w:t xml:space="preserve"> IS PROVIDED WITHIN TEN DAYS OF CONVICTION, AND TO PROVIDE THAT </w:t>
      </w:r>
      <w:r>
        <w:rPr>
          <w:rFonts w:eastAsia="Times New Roman"/>
        </w:rPr>
        <w:t xml:space="preserve">PROOF OF </w:t>
      </w:r>
      <w:r w:rsidR="00867B48">
        <w:rPr>
          <w:rFonts w:eastAsia="Times New Roman"/>
        </w:rPr>
        <w:t>INSURANCE</w:t>
      </w:r>
      <w:r>
        <w:rPr>
          <w:rFonts w:eastAsia="Times New Roman"/>
        </w:rPr>
        <w:t xml:space="preserve"> IS REQUIRED TO RETRIEVE </w:t>
      </w:r>
      <w:r w:rsidR="001B67CD">
        <w:rPr>
          <w:rFonts w:eastAsia="Times New Roman"/>
        </w:rPr>
        <w:t xml:space="preserve">THE </w:t>
      </w:r>
      <w:r>
        <w:rPr>
          <w:rFonts w:eastAsia="Times New Roman"/>
        </w:rPr>
        <w:t>VEHICLE.</w:t>
      </w:r>
    </w:p>
    <w:p w:rsidR="00C30F63" w:rsidRDefault="00C3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92A99" w:rsidRPr="00323B43" w:rsidRDefault="00C92A99" w:rsidP="00C92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3B43">
        <w:rPr>
          <w:color w:val="000000" w:themeColor="text1"/>
          <w:u w:color="000000" w:themeColor="text1"/>
        </w:rPr>
        <w:t>Be it enacted by the General Assembly of the State of South Carolina:</w:t>
      </w:r>
    </w:p>
    <w:p w:rsidR="00C92A99" w:rsidRPr="00323B43" w:rsidRDefault="00C92A99" w:rsidP="00C92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2A99" w:rsidRPr="00323B43" w:rsidRDefault="00C92A99" w:rsidP="00C92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3B43">
        <w:rPr>
          <w:color w:val="000000" w:themeColor="text1"/>
          <w:u w:color="000000" w:themeColor="text1"/>
        </w:rPr>
        <w:t>SECTION</w:t>
      </w:r>
      <w:r w:rsidRPr="00323B43">
        <w:rPr>
          <w:color w:val="000000" w:themeColor="text1"/>
          <w:u w:color="000000" w:themeColor="text1"/>
        </w:rPr>
        <w:tab/>
        <w:t>1. Section 56</w:t>
      </w:r>
      <w:r w:rsidR="00942C8E">
        <w:rPr>
          <w:color w:val="000000" w:themeColor="text1"/>
          <w:u w:color="000000" w:themeColor="text1"/>
        </w:rPr>
        <w:noBreakHyphen/>
      </w:r>
      <w:r w:rsidRPr="00323B43">
        <w:rPr>
          <w:color w:val="000000" w:themeColor="text1"/>
          <w:u w:color="000000" w:themeColor="text1"/>
        </w:rPr>
        <w:t>10</w:t>
      </w:r>
      <w:r w:rsidR="00942C8E">
        <w:rPr>
          <w:color w:val="000000" w:themeColor="text1"/>
          <w:u w:color="000000" w:themeColor="text1"/>
        </w:rPr>
        <w:noBreakHyphen/>
      </w:r>
      <w:r>
        <w:rPr>
          <w:color w:val="000000" w:themeColor="text1"/>
          <w:u w:color="000000" w:themeColor="text1"/>
        </w:rPr>
        <w:t>225</w:t>
      </w:r>
      <w:r w:rsidRPr="00323B43">
        <w:rPr>
          <w:color w:val="000000" w:themeColor="text1"/>
          <w:u w:color="000000" w:themeColor="text1"/>
        </w:rPr>
        <w:t>(C) of the 1976 Code is amended to read:</w:t>
      </w:r>
    </w:p>
    <w:p w:rsidR="00C92A99" w:rsidRPr="00323B43" w:rsidRDefault="00C92A99" w:rsidP="00C92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2A99" w:rsidRPr="00323B43" w:rsidRDefault="00C92A99" w:rsidP="00C92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3B43">
        <w:rPr>
          <w:color w:val="000000" w:themeColor="text1"/>
          <w:u w:color="000000" w:themeColor="text1"/>
        </w:rPr>
        <w:tab/>
        <w:t>“</w:t>
      </w:r>
      <w:r>
        <w:rPr>
          <w:color w:val="000000" w:themeColor="text1"/>
          <w:u w:color="000000" w:themeColor="text1"/>
        </w:rPr>
        <w:t>(C)</w:t>
      </w:r>
      <w:r>
        <w:rPr>
          <w:color w:val="000000" w:themeColor="text1"/>
          <w:u w:color="000000" w:themeColor="text1"/>
        </w:rPr>
        <w:tab/>
      </w:r>
      <w:r w:rsidRPr="00323B43">
        <w:rPr>
          <w:color w:val="000000" w:themeColor="text1"/>
          <w:u w:color="000000" w:themeColor="text1"/>
        </w:rPr>
        <w:t xml:space="preserve">A person who fails to maintain the proof of insurance in his motor vehicle as required by subsection (A) is guilty of a misdemeanor and, upon conviction, is subject to the same punishment as provided by law for failure of the person driving or in control of a motor vehicle to carry the vehicle registration card and to display the registration card upon demand. </w:t>
      </w:r>
      <w:r>
        <w:rPr>
          <w:color w:val="000000" w:themeColor="text1"/>
          <w:u w:color="000000" w:themeColor="text1"/>
        </w:rPr>
        <w:t xml:space="preserve"> </w:t>
      </w:r>
      <w:r w:rsidRPr="00323B43">
        <w:rPr>
          <w:color w:val="000000" w:themeColor="text1"/>
          <w:u w:color="000000" w:themeColor="text1"/>
        </w:rPr>
        <w:t xml:space="preserve">However, a charge of failing to maintain proof that a motor vehicle is insured must be dismissed if the person provides proof to the court that the motor vehicle was insured on the date of the violation. </w:t>
      </w:r>
      <w:r>
        <w:rPr>
          <w:color w:val="000000" w:themeColor="text1"/>
          <w:u w:color="000000" w:themeColor="text1"/>
        </w:rPr>
        <w:t xml:space="preserve"> </w:t>
      </w:r>
      <w:r w:rsidRPr="00323B43">
        <w:rPr>
          <w:color w:val="000000" w:themeColor="text1"/>
          <w:u w:color="000000" w:themeColor="text1"/>
        </w:rPr>
        <w:t>Upon notice of conviction, the department shall suspend the owner</w:t>
      </w:r>
      <w:r w:rsidR="00942C8E" w:rsidRPr="00942C8E">
        <w:rPr>
          <w:color w:val="000000" w:themeColor="text1"/>
          <w:u w:color="000000" w:themeColor="text1"/>
        </w:rPr>
        <w:t>’</w:t>
      </w:r>
      <w:r w:rsidRPr="00323B43">
        <w:rPr>
          <w:color w:val="000000" w:themeColor="text1"/>
          <w:u w:color="000000" w:themeColor="text1"/>
        </w:rPr>
        <w:t>s driver</w:t>
      </w:r>
      <w:r w:rsidR="00942C8E" w:rsidRPr="00942C8E">
        <w:rPr>
          <w:color w:val="000000" w:themeColor="text1"/>
          <w:u w:color="000000" w:themeColor="text1"/>
        </w:rPr>
        <w:t>’</w:t>
      </w:r>
      <w:r w:rsidRPr="00323B43">
        <w:rPr>
          <w:color w:val="000000" w:themeColor="text1"/>
          <w:u w:color="000000" w:themeColor="text1"/>
        </w:rPr>
        <w:t xml:space="preserve">s license until satisfactory proof of insurance is provided.  </w:t>
      </w:r>
      <w:r w:rsidRPr="00323B43">
        <w:rPr>
          <w:color w:val="000000" w:themeColor="text1"/>
          <w:u w:val="single" w:color="000000" w:themeColor="text1"/>
        </w:rPr>
        <w:t>If no satisfactory proof of insurance has been provided to the department within ten business days of the notice of conviction, the department shall notify the law enforcement agency that charged the owner pursuant to this section.  The law enforcement agency may impound the vehicle, and the vehicle shall be held at a facility designated by the law enforcement agency until proof of insurance is provided to the department.  The owner of the vehicle shall be responsible for any fees incurred as a result of the towing and storage of the vehicle.</w:t>
      </w:r>
      <w:r w:rsidR="00297EE5">
        <w:rPr>
          <w:color w:val="000000" w:themeColor="text1"/>
          <w:u w:val="single" w:color="000000" w:themeColor="text1"/>
        </w:rPr>
        <w:t xml:space="preserve">  A vehicle that is not retrieved within nine</w:t>
      </w:r>
      <w:r w:rsidR="005C2CF3">
        <w:rPr>
          <w:color w:val="000000" w:themeColor="text1"/>
          <w:u w:val="single" w:color="000000" w:themeColor="text1"/>
        </w:rPr>
        <w:t>ty days is an abandoned vehicle</w:t>
      </w:r>
      <w:r w:rsidR="00297EE5">
        <w:rPr>
          <w:color w:val="000000" w:themeColor="text1"/>
          <w:u w:val="single" w:color="000000" w:themeColor="text1"/>
        </w:rPr>
        <w:t xml:space="preserve"> and shall be disposed of pursuant to the provisions of </w:t>
      </w:r>
      <w:r w:rsidR="00774AB2">
        <w:rPr>
          <w:color w:val="000000" w:themeColor="text1"/>
          <w:u w:val="single" w:color="000000" w:themeColor="text1"/>
        </w:rPr>
        <w:t>Section 56-5-5640.</w:t>
      </w:r>
      <w:r w:rsidRPr="00323B43">
        <w:rPr>
          <w:color w:val="000000" w:themeColor="text1"/>
          <w:u w:color="000000" w:themeColor="text1"/>
        </w:rPr>
        <w:t xml:space="preserve"> </w:t>
      </w:r>
      <w:r>
        <w:rPr>
          <w:color w:val="000000" w:themeColor="text1"/>
          <w:u w:color="000000" w:themeColor="text1"/>
        </w:rPr>
        <w:t xml:space="preserve"> </w:t>
      </w:r>
      <w:r w:rsidRPr="00323B43">
        <w:rPr>
          <w:color w:val="000000" w:themeColor="text1"/>
          <w:u w:color="000000" w:themeColor="text1"/>
        </w:rPr>
        <w:t>If at any time the department determines that the vehicle was without insurance coverage, the owner</w:t>
      </w:r>
      <w:r w:rsidR="00942C8E" w:rsidRPr="00942C8E">
        <w:rPr>
          <w:color w:val="000000" w:themeColor="text1"/>
          <w:u w:color="000000" w:themeColor="text1"/>
        </w:rPr>
        <w:t>’</w:t>
      </w:r>
      <w:r w:rsidRPr="00323B43">
        <w:rPr>
          <w:color w:val="000000" w:themeColor="text1"/>
          <w:u w:color="000000" w:themeColor="text1"/>
        </w:rPr>
        <w:t>s registration and driving privileges will be suspended pursuant to Section 56</w:t>
      </w:r>
      <w:r w:rsidR="00942C8E">
        <w:rPr>
          <w:color w:val="000000" w:themeColor="text1"/>
          <w:u w:color="000000" w:themeColor="text1"/>
        </w:rPr>
        <w:noBreakHyphen/>
      </w:r>
      <w:r w:rsidRPr="00323B43">
        <w:rPr>
          <w:color w:val="000000" w:themeColor="text1"/>
          <w:u w:color="000000" w:themeColor="text1"/>
        </w:rPr>
        <w:t>10</w:t>
      </w:r>
      <w:r w:rsidR="00942C8E">
        <w:rPr>
          <w:color w:val="000000" w:themeColor="text1"/>
          <w:u w:color="000000" w:themeColor="text1"/>
        </w:rPr>
        <w:noBreakHyphen/>
      </w:r>
      <w:r w:rsidRPr="00323B43">
        <w:rPr>
          <w:color w:val="000000" w:themeColor="text1"/>
          <w:u w:color="000000" w:themeColor="text1"/>
        </w:rPr>
        <w:t>520.</w:t>
      </w:r>
      <w:r>
        <w:rPr>
          <w:color w:val="000000" w:themeColor="text1"/>
          <w:u w:color="000000" w:themeColor="text1"/>
        </w:rPr>
        <w:t>”</w:t>
      </w:r>
    </w:p>
    <w:p w:rsidR="00C92A99" w:rsidRPr="00323B43" w:rsidRDefault="00C92A99" w:rsidP="00C92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3B43">
        <w:rPr>
          <w:color w:val="000000" w:themeColor="text1"/>
          <w:u w:color="000000" w:themeColor="text1"/>
        </w:rPr>
        <w:tab/>
      </w:r>
    </w:p>
    <w:p w:rsidR="00C92A99" w:rsidRPr="00323B43" w:rsidRDefault="00C92A99" w:rsidP="00C92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3B43">
        <w:rPr>
          <w:color w:val="000000" w:themeColor="text1"/>
          <w:u w:color="000000" w:themeColor="text1"/>
        </w:rPr>
        <w:t>SECTION</w:t>
      </w:r>
      <w:r w:rsidRPr="00323B43">
        <w:rPr>
          <w:color w:val="000000" w:themeColor="text1"/>
          <w:u w:color="000000" w:themeColor="text1"/>
        </w:rPr>
        <w:tab/>
        <w:t>2.</w:t>
      </w:r>
      <w:r w:rsidRPr="00323B43">
        <w:rPr>
          <w:color w:val="000000" w:themeColor="text1"/>
          <w:u w:color="000000" w:themeColor="text1"/>
        </w:rPr>
        <w:tab/>
        <w:t>This act takes effect upon approval by the Governor.</w:t>
      </w:r>
    </w:p>
    <w:p w:rsidR="001F09DD" w:rsidRDefault="00942C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F09DD" w:rsidRDefault="001F09DD" w:rsidP="001B37BB">
      <w:pPr>
        <w:suppressAutoHyphens/>
        <w:jc w:val="both"/>
        <w:rPr>
          <w:rFonts w:eastAsia="Times New Roman"/>
        </w:rPr>
      </w:pPr>
    </w:p>
    <w:sectPr w:rsidR="001F09DD" w:rsidSect="001B37B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7EE5" w:rsidRDefault="00297EE5" w:rsidP="00522CE0">
      <w:r>
        <w:separator/>
      </w:r>
    </w:p>
  </w:endnote>
  <w:endnote w:type="continuationSeparator" w:id="0">
    <w:p w:rsidR="00297EE5" w:rsidRDefault="00297EE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18A136-A6A0-4B78-A136-CD4688391812}"/>
    <w:embedBold r:id="rId2" w:fontKey="{181950EB-A01C-444E-93BF-3689E888C972}"/>
  </w:font>
  <w:font w:name="Calibri">
    <w:panose1 w:val="020F0502020204030204"/>
    <w:charset w:val="00"/>
    <w:family w:val="swiss"/>
    <w:pitch w:val="variable"/>
    <w:sig w:usb0="E10002FF" w:usb1="4000ACFF" w:usb2="00000009" w:usb3="00000000" w:csb0="0000019F" w:csb1="00000000"/>
    <w:embedRegular r:id="rId3" w:fontKey="{13933A9C-82EA-477A-BA8D-B44279B043E0}"/>
    <w:embedBold r:id="rId4" w:fontKey="{D3395FAF-6C51-4075-9A66-E1ABA0B069E4}"/>
  </w:font>
  <w:font w:name="Cambria">
    <w:panose1 w:val="02040503050406030204"/>
    <w:charset w:val="00"/>
    <w:family w:val="roman"/>
    <w:pitch w:val="variable"/>
    <w:sig w:usb0="E00002FF" w:usb1="400004FF" w:usb2="00000000" w:usb3="00000000" w:csb0="0000019F" w:csb1="00000000"/>
    <w:embedRegular r:id="rId5" w:fontKey="{8B976922-F6B3-400D-BC1B-5CA749339F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7BB" w:rsidRPr="001F09DD" w:rsidRDefault="001B37BB" w:rsidP="001F09DD">
    <w:pPr>
      <w:pStyle w:val="Footer"/>
      <w:tabs>
        <w:tab w:val="clear" w:pos="4680"/>
        <w:tab w:val="clear" w:pos="9360"/>
        <w:tab w:val="center" w:pos="2995"/>
      </w:tabs>
      <w:spacing w:before="120"/>
    </w:pPr>
    <w:r>
      <w:t>[275]</w:t>
    </w:r>
    <w:r>
      <w:tab/>
    </w:r>
    <w:r w:rsidR="004C6182">
      <w:fldChar w:fldCharType="begin"/>
    </w:r>
    <w:r w:rsidR="004C6182">
      <w:instrText xml:space="preserve"> PAGE  \* MERGEFORMAT </w:instrText>
    </w:r>
    <w:r w:rsidR="004C6182">
      <w:fldChar w:fldCharType="separate"/>
    </w:r>
    <w:r w:rsidR="004C6182">
      <w:rPr>
        <w:noProof/>
      </w:rPr>
      <w:t>1</w:t>
    </w:r>
    <w:r w:rsidR="004C61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7EE5" w:rsidRDefault="00297EE5" w:rsidP="00522CE0">
      <w:r>
        <w:separator/>
      </w:r>
    </w:p>
  </w:footnote>
  <w:footnote w:type="continuationSeparator" w:id="0">
    <w:p w:rsidR="00297EE5" w:rsidRDefault="00297EE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31IMPO.EBD.MTR"/>
    <w:docVar w:name="CoverAttorneyInitials" w:val="EBD"/>
    <w:docVar w:name="CoverAttorneyLastName" w:val="Donaldson"/>
    <w:docVar w:name="CoverBillType" w:val="b"/>
    <w:docVar w:name="CoverSenator" w:val="MTR"/>
    <w:docVar w:name="dvBillNumber" w:val="275"/>
    <w:docVar w:name="dvBillNumberPrefix" w:val="S. "/>
    <w:docVar w:name="dvOriginalBody" w:val="Senate"/>
    <w:docVar w:name="fulldraftpath" w:val="L:\S-RES\MTR\031IMPO.EBD.MTR.DOCX"/>
    <w:docVar w:name="NameofBody" w:val="S"/>
    <w:docVar w:name="vgroup2" w:val="S-RES"/>
  </w:docVars>
  <w:rsids>
    <w:rsidRoot w:val="00471F3B"/>
    <w:rsid w:val="00042AC1"/>
    <w:rsid w:val="00045D2C"/>
    <w:rsid w:val="00046516"/>
    <w:rsid w:val="0007601D"/>
    <w:rsid w:val="000B0720"/>
    <w:rsid w:val="000B5EAF"/>
    <w:rsid w:val="000C5136"/>
    <w:rsid w:val="000C56F2"/>
    <w:rsid w:val="00170561"/>
    <w:rsid w:val="0018594A"/>
    <w:rsid w:val="00186AC9"/>
    <w:rsid w:val="00197DF1"/>
    <w:rsid w:val="001A3120"/>
    <w:rsid w:val="001B37BB"/>
    <w:rsid w:val="001B3DD9"/>
    <w:rsid w:val="001B67CD"/>
    <w:rsid w:val="001B7E5D"/>
    <w:rsid w:val="001D3BAC"/>
    <w:rsid w:val="001F09DD"/>
    <w:rsid w:val="00245C4E"/>
    <w:rsid w:val="00281350"/>
    <w:rsid w:val="00297EE5"/>
    <w:rsid w:val="002C1321"/>
    <w:rsid w:val="002C2E61"/>
    <w:rsid w:val="002C5896"/>
    <w:rsid w:val="002D3BED"/>
    <w:rsid w:val="002E162F"/>
    <w:rsid w:val="00307C2B"/>
    <w:rsid w:val="003448D0"/>
    <w:rsid w:val="00380299"/>
    <w:rsid w:val="00383247"/>
    <w:rsid w:val="003D4223"/>
    <w:rsid w:val="003D6E2B"/>
    <w:rsid w:val="003E7597"/>
    <w:rsid w:val="00437155"/>
    <w:rsid w:val="00450668"/>
    <w:rsid w:val="00471F3B"/>
    <w:rsid w:val="00487920"/>
    <w:rsid w:val="004952FA"/>
    <w:rsid w:val="004A6EFC"/>
    <w:rsid w:val="004B6A22"/>
    <w:rsid w:val="004C6182"/>
    <w:rsid w:val="004D7F37"/>
    <w:rsid w:val="00507829"/>
    <w:rsid w:val="00522CE0"/>
    <w:rsid w:val="005341CA"/>
    <w:rsid w:val="00546AD1"/>
    <w:rsid w:val="0055286A"/>
    <w:rsid w:val="00565148"/>
    <w:rsid w:val="00593361"/>
    <w:rsid w:val="005A5017"/>
    <w:rsid w:val="005A648C"/>
    <w:rsid w:val="005C2CF3"/>
    <w:rsid w:val="005F1745"/>
    <w:rsid w:val="0061651F"/>
    <w:rsid w:val="00694EA1"/>
    <w:rsid w:val="006C74EA"/>
    <w:rsid w:val="00720D40"/>
    <w:rsid w:val="007318D4"/>
    <w:rsid w:val="007532F8"/>
    <w:rsid w:val="00765784"/>
    <w:rsid w:val="00774458"/>
    <w:rsid w:val="00774AB2"/>
    <w:rsid w:val="007A4390"/>
    <w:rsid w:val="007D5B35"/>
    <w:rsid w:val="007E5CB7"/>
    <w:rsid w:val="007F260C"/>
    <w:rsid w:val="008314D2"/>
    <w:rsid w:val="00867B48"/>
    <w:rsid w:val="008A3034"/>
    <w:rsid w:val="008A7993"/>
    <w:rsid w:val="008B2F42"/>
    <w:rsid w:val="008E185F"/>
    <w:rsid w:val="008F023B"/>
    <w:rsid w:val="00904E16"/>
    <w:rsid w:val="009162B3"/>
    <w:rsid w:val="00927C62"/>
    <w:rsid w:val="00942C8E"/>
    <w:rsid w:val="00983951"/>
    <w:rsid w:val="00984124"/>
    <w:rsid w:val="00984640"/>
    <w:rsid w:val="00994E4A"/>
    <w:rsid w:val="00995C37"/>
    <w:rsid w:val="009C118A"/>
    <w:rsid w:val="00A02011"/>
    <w:rsid w:val="00A4011E"/>
    <w:rsid w:val="00A74C08"/>
    <w:rsid w:val="00A86015"/>
    <w:rsid w:val="00A9594E"/>
    <w:rsid w:val="00AE1B0D"/>
    <w:rsid w:val="00AE59C8"/>
    <w:rsid w:val="00B10098"/>
    <w:rsid w:val="00B12A36"/>
    <w:rsid w:val="00B57305"/>
    <w:rsid w:val="00B5790D"/>
    <w:rsid w:val="00B945C5"/>
    <w:rsid w:val="00BA20EA"/>
    <w:rsid w:val="00BB5AFC"/>
    <w:rsid w:val="00BC0A56"/>
    <w:rsid w:val="00C30F63"/>
    <w:rsid w:val="00C45366"/>
    <w:rsid w:val="00C57023"/>
    <w:rsid w:val="00C74052"/>
    <w:rsid w:val="00C80981"/>
    <w:rsid w:val="00C92A99"/>
    <w:rsid w:val="00CB187A"/>
    <w:rsid w:val="00CC0EC7"/>
    <w:rsid w:val="00D03EEF"/>
    <w:rsid w:val="00D04D25"/>
    <w:rsid w:val="00D1088B"/>
    <w:rsid w:val="00D156D2"/>
    <w:rsid w:val="00D77256"/>
    <w:rsid w:val="00D86943"/>
    <w:rsid w:val="00DA47B9"/>
    <w:rsid w:val="00DC2B54"/>
    <w:rsid w:val="00DC3933"/>
    <w:rsid w:val="00E03285"/>
    <w:rsid w:val="00E058D3"/>
    <w:rsid w:val="00E76AD9"/>
    <w:rsid w:val="00E91E2F"/>
    <w:rsid w:val="00EA0732"/>
    <w:rsid w:val="00EA3546"/>
    <w:rsid w:val="00EB47AE"/>
    <w:rsid w:val="00EC19B8"/>
    <w:rsid w:val="00EC34E1"/>
    <w:rsid w:val="00F0234A"/>
    <w:rsid w:val="00F52959"/>
    <w:rsid w:val="00F55884"/>
    <w:rsid w:val="00F91910"/>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974DD475-9C83-44C4-9F2C-3EC1D10AE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B37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432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75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460</Words>
  <Characters>2439</Characters>
  <Application>Microsoft Office Word</Application>
  <DocSecurity>4</DocSecurity>
  <Lines>85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275: Automobile insurance - South Carolina Legislature Online</dc:title>
  <dc:subject/>
  <dc:creator>EmilyMoore</dc:creator>
  <cp:keywords/>
  <dc:description/>
  <cp:lastModifiedBy>N Cumfer</cp:lastModifiedBy>
  <cp:revision>2</cp:revision>
  <cp:lastPrinted>2010-12-13T20:03:00Z</cp:lastPrinted>
  <dcterms:created xsi:type="dcterms:W3CDTF">2014-11-21T20:33:00Z</dcterms:created>
  <dcterms:modified xsi:type="dcterms:W3CDTF">2014-11-21T20:33:00Z</dcterms:modified>
</cp:coreProperties>
</file>