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2FE" w:rsidRDefault="009B32FE" w:rsidP="009B32FE">
      <w:pPr>
        <w:widowControl w:val="0"/>
        <w:jc w:val="center"/>
      </w:pPr>
      <w:bookmarkStart w:id="0" w:name="_GoBack"/>
      <w:bookmarkEnd w:id="0"/>
      <w:r w:rsidRPr="009B32FE">
        <w:rPr>
          <w:b/>
        </w:rPr>
        <w:t>South Carolina General Assembly</w:t>
      </w:r>
    </w:p>
    <w:p w:rsidR="009B32FE" w:rsidRDefault="009B32FE" w:rsidP="009B32FE">
      <w:pPr>
        <w:widowControl w:val="0"/>
        <w:jc w:val="center"/>
      </w:pPr>
      <w:r>
        <w:t>119th Session, 2011-2012</w:t>
      </w:r>
    </w:p>
    <w:p w:rsidR="009B32FE" w:rsidRDefault="009B32FE" w:rsidP="009B32FE">
      <w:pPr>
        <w:widowControl w:val="0"/>
      </w:pPr>
    </w:p>
    <w:p w:rsidR="009B32FE" w:rsidRDefault="009B32FE" w:rsidP="009B32FE">
      <w:pPr>
        <w:widowControl w:val="0"/>
        <w:rPr>
          <w:b/>
        </w:rPr>
      </w:pPr>
      <w:r w:rsidRPr="009B32FE">
        <w:rPr>
          <w:b/>
        </w:rPr>
        <w:t>S.</w:t>
      </w:r>
      <w:r>
        <w:rPr>
          <w:b/>
        </w:rPr>
        <w:t xml:space="preserve"> </w:t>
      </w:r>
      <w:r w:rsidRPr="009B32FE">
        <w:rPr>
          <w:b/>
        </w:rPr>
        <w:t>39</w:t>
      </w:r>
    </w:p>
    <w:p w:rsidR="009B32FE" w:rsidRDefault="009B32FE" w:rsidP="009B32FE">
      <w:pPr>
        <w:widowControl w:val="0"/>
        <w:rPr>
          <w:b/>
        </w:rPr>
      </w:pPr>
    </w:p>
    <w:p w:rsidR="009B32FE" w:rsidRDefault="009B32FE" w:rsidP="009B32FE">
      <w:pPr>
        <w:widowControl w:val="0"/>
      </w:pPr>
      <w:r w:rsidRPr="009B32FE">
        <w:rPr>
          <w:b/>
        </w:rPr>
        <w:t>STATUS INFORMATION</w:t>
      </w:r>
    </w:p>
    <w:p w:rsidR="009B32FE" w:rsidRDefault="009B32FE" w:rsidP="009B32FE">
      <w:pPr>
        <w:widowControl w:val="0"/>
      </w:pPr>
    </w:p>
    <w:p w:rsidR="009B32FE" w:rsidRDefault="009B32FE" w:rsidP="009B32FE">
      <w:pPr>
        <w:widowControl w:val="0"/>
      </w:pPr>
      <w:r>
        <w:t>General Bill</w:t>
      </w:r>
    </w:p>
    <w:p w:rsidR="009B32FE" w:rsidRDefault="00CC4324" w:rsidP="009B32FE">
      <w:pPr>
        <w:widowControl w:val="0"/>
      </w:pPr>
      <w:r>
        <w:t>Sponsors: Senators McConnell and Campsen</w:t>
      </w:r>
    </w:p>
    <w:p w:rsidR="009B32FE" w:rsidRDefault="009B32FE" w:rsidP="009B32FE">
      <w:pPr>
        <w:widowControl w:val="0"/>
      </w:pPr>
      <w:r>
        <w:t>Document Path: l:\s-jud\bills\mcconnell\jud0009.js.docx</w:t>
      </w:r>
    </w:p>
    <w:p w:rsidR="009B32FE" w:rsidRDefault="009B32FE" w:rsidP="009B32FE">
      <w:pPr>
        <w:widowControl w:val="0"/>
      </w:pPr>
    </w:p>
    <w:p w:rsidR="00523B02" w:rsidRDefault="00523B02" w:rsidP="009B32FE">
      <w:pPr>
        <w:widowControl w:val="0"/>
      </w:pPr>
      <w:r>
        <w:t>Introduced in the Senate on January 11, 2011</w:t>
      </w:r>
    </w:p>
    <w:p w:rsidR="00523B02" w:rsidRPr="00523B02" w:rsidRDefault="00523B02" w:rsidP="009B32FE">
      <w:pPr>
        <w:widowControl w:val="0"/>
      </w:pPr>
      <w:r>
        <w:t xml:space="preserve">Currently residing in the Senate Committee on </w:t>
      </w:r>
      <w:r w:rsidRPr="00523B02">
        <w:rPr>
          <w:b/>
        </w:rPr>
        <w:t>Judiciary</w:t>
      </w:r>
    </w:p>
    <w:p w:rsidR="00523B02" w:rsidRDefault="00523B02" w:rsidP="009B32FE">
      <w:pPr>
        <w:widowControl w:val="0"/>
      </w:pPr>
    </w:p>
    <w:p w:rsidR="009B32FE" w:rsidRDefault="009B32FE" w:rsidP="009B32FE">
      <w:pPr>
        <w:widowControl w:val="0"/>
      </w:pPr>
      <w:r>
        <w:t xml:space="preserve">Summary: </w:t>
      </w:r>
      <w:r w:rsidR="004E6D4B">
        <w:t>Frivolous lawsuits</w:t>
      </w:r>
    </w:p>
    <w:p w:rsidR="009B32FE" w:rsidRDefault="009B32FE" w:rsidP="009B32FE">
      <w:pPr>
        <w:widowControl w:val="0"/>
      </w:pPr>
    </w:p>
    <w:p w:rsidR="009B32FE" w:rsidRDefault="009B32FE" w:rsidP="009B32FE">
      <w:pPr>
        <w:widowControl w:val="0"/>
      </w:pPr>
    </w:p>
    <w:p w:rsidR="009B32FE" w:rsidRDefault="009B32FE" w:rsidP="009B32FE">
      <w:pPr>
        <w:widowControl w:val="0"/>
        <w:tabs>
          <w:tab w:val="center" w:pos="590"/>
          <w:tab w:val="center" w:pos="1440"/>
          <w:tab w:val="left" w:pos="1872"/>
          <w:tab w:val="left" w:pos="9187"/>
        </w:tabs>
      </w:pPr>
      <w:r w:rsidRPr="009B32FE">
        <w:rPr>
          <w:b/>
        </w:rPr>
        <w:t>HISTORY OF LEGISLATIVE ACTIONS</w:t>
      </w:r>
    </w:p>
    <w:p w:rsidR="009B32FE" w:rsidRDefault="009B32FE" w:rsidP="009B32FE">
      <w:pPr>
        <w:widowControl w:val="0"/>
        <w:tabs>
          <w:tab w:val="center" w:pos="590"/>
          <w:tab w:val="center" w:pos="1440"/>
          <w:tab w:val="left" w:pos="1872"/>
          <w:tab w:val="left" w:pos="9187"/>
        </w:tabs>
      </w:pPr>
    </w:p>
    <w:p w:rsidR="009B32FE" w:rsidRPr="009B32FE" w:rsidRDefault="009B32FE" w:rsidP="009B32FE">
      <w:pPr>
        <w:widowControl w:val="0"/>
        <w:tabs>
          <w:tab w:val="center" w:pos="590"/>
          <w:tab w:val="center" w:pos="1440"/>
          <w:tab w:val="left" w:pos="1872"/>
          <w:tab w:val="left" w:pos="9187"/>
        </w:tabs>
      </w:pPr>
      <w:r w:rsidRPr="009B32FE">
        <w:rPr>
          <w:u w:val="single"/>
        </w:rPr>
        <w:tab/>
        <w:t>Date</w:t>
      </w:r>
      <w:r w:rsidRPr="009B32FE">
        <w:rPr>
          <w:u w:val="single"/>
        </w:rPr>
        <w:tab/>
        <w:t>Body</w:t>
      </w:r>
      <w:r w:rsidRPr="009B32FE">
        <w:rPr>
          <w:u w:val="single"/>
        </w:rPr>
        <w:tab/>
        <w:t>Action Description with journal page number</w:t>
      </w:r>
      <w:r w:rsidRPr="009B32FE">
        <w:rPr>
          <w:u w:val="single"/>
        </w:rPr>
        <w:tab/>
      </w:r>
    </w:p>
    <w:p w:rsidR="00A700B7" w:rsidRDefault="00A700B7" w:rsidP="00A700B7">
      <w:pPr>
        <w:widowControl w:val="0"/>
        <w:tabs>
          <w:tab w:val="right" w:pos="1008"/>
          <w:tab w:val="left" w:pos="1152"/>
          <w:tab w:val="left" w:pos="1872"/>
          <w:tab w:val="left" w:pos="9187"/>
        </w:tabs>
        <w:ind w:left="2088" w:hanging="2088"/>
      </w:pPr>
      <w:r>
        <w:tab/>
        <w:t>12/1/2010</w:t>
      </w:r>
      <w:r>
        <w:tab/>
        <w:t>Senate</w:t>
      </w:r>
      <w:r>
        <w:tab/>
      </w:r>
      <w:r w:rsidRPr="00A139B4">
        <w:t>Prefiled</w:t>
      </w:r>
    </w:p>
    <w:p w:rsidR="00A700B7" w:rsidRDefault="00A700B7" w:rsidP="00A700B7">
      <w:pPr>
        <w:widowControl w:val="0"/>
        <w:tabs>
          <w:tab w:val="right" w:pos="1008"/>
          <w:tab w:val="left" w:pos="1152"/>
          <w:tab w:val="left" w:pos="1872"/>
          <w:tab w:val="left" w:pos="9187"/>
        </w:tabs>
        <w:ind w:left="2088" w:hanging="2088"/>
      </w:pPr>
      <w:r>
        <w:tab/>
        <w:t>12/1/2010</w:t>
      </w:r>
      <w:r>
        <w:tab/>
        <w:t>Senate</w:t>
      </w:r>
      <w:r>
        <w:tab/>
      </w:r>
      <w:r w:rsidRPr="00A139B4">
        <w:t xml:space="preserve">Referred to Committee on </w:t>
      </w:r>
      <w:r w:rsidRPr="00A139B4">
        <w:rPr>
          <w:b/>
        </w:rPr>
        <w:t>Judiciary</w:t>
      </w:r>
    </w:p>
    <w:p w:rsidR="00A700B7" w:rsidRDefault="00A700B7" w:rsidP="00A700B7">
      <w:pPr>
        <w:widowControl w:val="0"/>
        <w:tabs>
          <w:tab w:val="right" w:pos="1008"/>
          <w:tab w:val="left" w:pos="1152"/>
          <w:tab w:val="left" w:pos="1872"/>
          <w:tab w:val="left" w:pos="9187"/>
        </w:tabs>
        <w:ind w:left="2088" w:hanging="2088"/>
      </w:pPr>
      <w:r>
        <w:tab/>
        <w:t>1/11/2011</w:t>
      </w:r>
      <w:r>
        <w:tab/>
        <w:t>Senate</w:t>
      </w:r>
      <w:r>
        <w:tab/>
      </w:r>
      <w:r w:rsidRPr="00A139B4">
        <w:t>Introduced and read first time (</w:t>
      </w:r>
      <w:hyperlink r:id="rId6" w:history="1">
        <w:r w:rsidRPr="00A139B4">
          <w:rPr>
            <w:rStyle w:val="Hyperlink"/>
          </w:rPr>
          <w:t>Senate Journal</w:t>
        </w:r>
        <w:r w:rsidRPr="00A139B4">
          <w:rPr>
            <w:rStyle w:val="Hyperlink"/>
          </w:rPr>
          <w:noBreakHyphen/>
          <w:t>page 23</w:t>
        </w:r>
      </w:hyperlink>
      <w:r w:rsidRPr="00A139B4">
        <w:t>)</w:t>
      </w:r>
    </w:p>
    <w:p w:rsidR="00A700B7" w:rsidRDefault="00A700B7" w:rsidP="00A700B7">
      <w:pPr>
        <w:widowControl w:val="0"/>
        <w:tabs>
          <w:tab w:val="right" w:pos="1008"/>
          <w:tab w:val="left" w:pos="1152"/>
          <w:tab w:val="left" w:pos="1872"/>
          <w:tab w:val="left" w:pos="9187"/>
        </w:tabs>
        <w:ind w:left="2088" w:hanging="2088"/>
      </w:pPr>
      <w:r>
        <w:tab/>
        <w:t>1/11/2011</w:t>
      </w:r>
      <w:r>
        <w:tab/>
        <w:t>Senate</w:t>
      </w:r>
      <w:r>
        <w:tab/>
      </w:r>
      <w:r w:rsidRPr="00A139B4">
        <w:t>Ref</w:t>
      </w:r>
      <w:r>
        <w:t xml:space="preserve">erred to Committee on </w:t>
      </w:r>
      <w:r w:rsidRPr="00A139B4">
        <w:rPr>
          <w:b/>
        </w:rPr>
        <w:t>Judiciary</w:t>
      </w:r>
      <w:r>
        <w:t xml:space="preserve"> </w:t>
      </w:r>
      <w:r w:rsidRPr="00A139B4">
        <w:t>(</w:t>
      </w:r>
      <w:hyperlink r:id="rId7" w:history="1">
        <w:r w:rsidRPr="00A139B4">
          <w:rPr>
            <w:rStyle w:val="Hyperlink"/>
          </w:rPr>
          <w:t>Senate Journal</w:t>
        </w:r>
        <w:r w:rsidRPr="00A139B4">
          <w:rPr>
            <w:rStyle w:val="Hyperlink"/>
          </w:rPr>
          <w:noBreakHyphen/>
          <w:t>page 23</w:t>
        </w:r>
      </w:hyperlink>
      <w:r w:rsidRPr="00A139B4">
        <w:t>)</w:t>
      </w:r>
    </w:p>
    <w:p w:rsidR="00A700B7" w:rsidRDefault="00A700B7" w:rsidP="00A700B7">
      <w:pPr>
        <w:widowControl w:val="0"/>
        <w:tabs>
          <w:tab w:val="right" w:pos="1008"/>
          <w:tab w:val="left" w:pos="1152"/>
          <w:tab w:val="left" w:pos="1872"/>
          <w:tab w:val="left" w:pos="9187"/>
        </w:tabs>
        <w:ind w:left="2088" w:hanging="2088"/>
      </w:pPr>
      <w:r>
        <w:tab/>
        <w:t>1/9/2012</w:t>
      </w:r>
      <w:r>
        <w:tab/>
        <w:t>Senate</w:t>
      </w:r>
      <w:r>
        <w:tab/>
      </w:r>
      <w:r w:rsidRPr="00A139B4">
        <w:t>Referred to Subco</w:t>
      </w:r>
      <w:r>
        <w:t xml:space="preserve">mmittee: L.Martin (ch), Rankin, </w:t>
      </w:r>
      <w:r w:rsidRPr="00A139B4">
        <w:t>Hutto, Bright, Davis</w:t>
      </w:r>
    </w:p>
    <w:p w:rsidR="00A700B7" w:rsidRDefault="00A700B7" w:rsidP="00A700B7">
      <w:pPr>
        <w:widowControl w:val="0"/>
        <w:tabs>
          <w:tab w:val="right" w:pos="1008"/>
          <w:tab w:val="left" w:pos="1152"/>
          <w:tab w:val="left" w:pos="1872"/>
          <w:tab w:val="left" w:pos="9187"/>
        </w:tabs>
        <w:ind w:left="2088" w:hanging="2088"/>
      </w:pPr>
    </w:p>
    <w:p w:rsidR="009B32FE" w:rsidRPr="009B32FE" w:rsidRDefault="009B32FE" w:rsidP="009B32FE">
      <w:pPr>
        <w:widowControl w:val="0"/>
        <w:tabs>
          <w:tab w:val="right" w:pos="1008"/>
          <w:tab w:val="left" w:pos="1152"/>
          <w:tab w:val="left" w:pos="1872"/>
          <w:tab w:val="left" w:pos="9187"/>
        </w:tabs>
        <w:ind w:left="2088" w:hanging="2088"/>
      </w:pPr>
    </w:p>
    <w:p w:rsidR="009B32FE" w:rsidRDefault="009B32FE" w:rsidP="009B32FE">
      <w:pPr>
        <w:widowControl w:val="0"/>
      </w:pPr>
      <w:r w:rsidRPr="009B32FE">
        <w:rPr>
          <w:b/>
        </w:rPr>
        <w:lastRenderedPageBreak/>
        <w:t>VERSIONS OF THIS BILL</w:t>
      </w:r>
    </w:p>
    <w:p w:rsidR="009B32FE" w:rsidRDefault="009B32FE" w:rsidP="009B32FE">
      <w:pPr>
        <w:widowControl w:val="0"/>
      </w:pPr>
    </w:p>
    <w:p w:rsidR="009B32FE" w:rsidRDefault="009A0C80" w:rsidP="009B32FE">
      <w:pPr>
        <w:widowControl w:val="0"/>
      </w:pPr>
      <w:hyperlink r:id="rId8" w:history="1">
        <w:r w:rsidR="009B32FE">
          <w:rPr>
            <w:rStyle w:val="Hyperlink"/>
          </w:rPr>
          <w:t>12/1/2010</w:t>
        </w:r>
      </w:hyperlink>
    </w:p>
    <w:p w:rsidR="009B32FE" w:rsidRDefault="009B32FE" w:rsidP="009B32FE"/>
    <w:p w:rsidR="009B32FE" w:rsidRDefault="009B32FE" w:rsidP="009B32FE">
      <w:pPr>
        <w:sectPr w:rsidR="009B32FE" w:rsidSect="009B32FE">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81CB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1BD7" w:rsidRDefault="00221BD7" w:rsidP="0022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15-36-10 OF THE 1976 CODE OF LAWS OF SOUTH CAROLINA, </w:t>
      </w:r>
      <w:r w:rsidR="000C7179">
        <w:rPr>
          <w:rFonts w:eastAsia="Times New Roman"/>
        </w:rPr>
        <w:t xml:space="preserve">RELATING TO FRIVOLOUS CASES, SO AS </w:t>
      </w:r>
      <w:r>
        <w:rPr>
          <w:rFonts w:eastAsia="Times New Roman"/>
        </w:rPr>
        <w:t>TO ESTABLISH THAT A CASE DISMISSED BY A DIRECTED VERDICT OR SUMMARY JUDGMENT IS PRESUMED TO BE A PER SE FRIVOLOUS CASE, UNLESS THE COURT FINDS FOR GOOD CAUSE SHOWN IT WAS NOT FRIVOLOUS OR SANCTIONS SHOULD NOT BE IMPOSED.</w:t>
      </w:r>
    </w:p>
    <w:p w:rsidR="00381CBB" w:rsidRDefault="00381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81CBB" w:rsidRDefault="00381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7179" w:rsidRDefault="000C7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3931" w:rsidRDefault="000C3931" w:rsidP="000C3931">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Section 15-36-10(C) </w:t>
      </w:r>
      <w:r w:rsidR="009E073A">
        <w:rPr>
          <w:rFonts w:eastAsia="Times New Roman"/>
        </w:rPr>
        <w:t>of the 1976 Code</w:t>
      </w:r>
      <w:r>
        <w:rPr>
          <w:rFonts w:eastAsia="Times New Roman"/>
        </w:rPr>
        <w:t xml:space="preserve"> is amended to read:</w:t>
      </w:r>
    </w:p>
    <w:p w:rsidR="000C3931" w:rsidRDefault="000C3931" w:rsidP="000C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C3931" w:rsidRDefault="000C7179" w:rsidP="000C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15-36-10.</w:t>
      </w:r>
      <w:r w:rsidR="000C3931">
        <w:rPr>
          <w:rFonts w:eastAsia="Times New Roman"/>
          <w:szCs w:val="24"/>
        </w:rPr>
        <w:tab/>
        <w:t>(C)(1)</w:t>
      </w:r>
      <w:r w:rsidR="000C3931">
        <w:rPr>
          <w:rFonts w:eastAsia="Times New Roman"/>
          <w:szCs w:val="24"/>
        </w:rPr>
        <w:tab/>
        <w:t xml:space="preserve">At the conclusion of a trial and after a verdict for or a verdict against damages has been rendered </w:t>
      </w:r>
      <w:r w:rsidR="000C3931">
        <w:rPr>
          <w:rFonts w:eastAsia="Times New Roman"/>
          <w:strike/>
          <w:szCs w:val="24"/>
        </w:rPr>
        <w:t xml:space="preserve">or a case has been dismissed by a directed verdict, summary judgment, </w:t>
      </w:r>
      <w:r w:rsidR="000C3931">
        <w:rPr>
          <w:rFonts w:eastAsia="Times New Roman"/>
          <w:szCs w:val="24"/>
        </w:rPr>
        <w:t xml:space="preserve">or </w:t>
      </w:r>
      <w:r w:rsidR="000C3931" w:rsidRPr="000C3931">
        <w:rPr>
          <w:rFonts w:eastAsia="Times New Roman"/>
          <w:szCs w:val="24"/>
          <w:u w:val="single"/>
        </w:rPr>
        <w:t>after entering a</w:t>
      </w:r>
      <w:r w:rsidR="000C3931">
        <w:rPr>
          <w:rFonts w:eastAsia="Times New Roman"/>
          <w:szCs w:val="24"/>
        </w:rPr>
        <w:t xml:space="preserve"> judgment notwithstanding the verdict, upon motion of the prevailing party, the court shall proceed to determine if the claim or defense was frivolous.  An attorney, party, or pro se litigant shall be sanctioned for a frivolous claim or defense if the court finds the attorney, party, or pro se litigant failed to comply with one of the following conditions:</w:t>
      </w:r>
    </w:p>
    <w:p w:rsidR="000C3931" w:rsidRDefault="000C7179" w:rsidP="000C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(a)</w:t>
      </w:r>
      <w:r>
        <w:rPr>
          <w:rFonts w:eastAsia="Times New Roman"/>
          <w:szCs w:val="24"/>
        </w:rPr>
        <w:tab/>
      </w:r>
      <w:r w:rsidR="000C3931">
        <w:rPr>
          <w:rFonts w:eastAsia="Times New Roman"/>
          <w:szCs w:val="24"/>
        </w:rPr>
        <w:t xml:space="preserve">a reasonable attorney in the same circumstances would believe that under the facts, his claim or defense was clearly not warranted under existing law and that a good faith or reasonable argument did not exist for the extension, modification, or reversal of existing law; </w:t>
      </w:r>
    </w:p>
    <w:p w:rsidR="000C3931" w:rsidRDefault="000C7179" w:rsidP="000C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(b)</w:t>
      </w:r>
      <w:r>
        <w:rPr>
          <w:rFonts w:eastAsia="Times New Roman"/>
          <w:szCs w:val="24"/>
        </w:rPr>
        <w:tab/>
      </w:r>
      <w:r w:rsidR="000C3931">
        <w:rPr>
          <w:rFonts w:eastAsia="Times New Roman"/>
          <w:szCs w:val="24"/>
        </w:rPr>
        <w:t>a reasonable attorney in the same circumstances would believe that his procurement, initiation, continuation, or defense of the civil suit was intended merely to har</w:t>
      </w:r>
      <w:r>
        <w:rPr>
          <w:rFonts w:eastAsia="Times New Roman"/>
          <w:szCs w:val="24"/>
        </w:rPr>
        <w:t xml:space="preserve">ass or injure the other party; </w:t>
      </w:r>
      <w:r w:rsidR="000C3931">
        <w:rPr>
          <w:rFonts w:eastAsia="Times New Roman"/>
          <w:szCs w:val="24"/>
        </w:rPr>
        <w:t xml:space="preserve">or </w:t>
      </w:r>
    </w:p>
    <w:p w:rsidR="000C3931" w:rsidRDefault="000C7179" w:rsidP="000C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(c)</w:t>
      </w:r>
      <w:r>
        <w:rPr>
          <w:rFonts w:eastAsia="Times New Roman"/>
          <w:szCs w:val="24"/>
        </w:rPr>
        <w:tab/>
      </w:r>
      <w:r w:rsidR="000C3931">
        <w:rPr>
          <w:rFonts w:eastAsia="Times New Roman"/>
          <w:szCs w:val="24"/>
        </w:rPr>
        <w:t xml:space="preserve">a reasonable attorney in the same circumstances would believe that the case or defense was frivolous as not reasonably founded in fact or was interposed merely for delay, or was merely brought for a purpose other than securing proper discovery, joinder of proposed parties, or adjudication of the claim or defense upon which the proceedings are based. </w:t>
      </w:r>
    </w:p>
    <w:p w:rsidR="000C3931" w:rsidRDefault="000C7179" w:rsidP="000C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(2)</w:t>
      </w:r>
      <w:r>
        <w:rPr>
          <w:rFonts w:eastAsia="Times New Roman"/>
          <w:szCs w:val="24"/>
        </w:rPr>
        <w:tab/>
      </w:r>
      <w:r w:rsidR="000C3931">
        <w:rPr>
          <w:rFonts w:eastAsia="Times New Roman"/>
          <w:szCs w:val="24"/>
        </w:rPr>
        <w:t xml:space="preserve">Unless the court finds by a preponderance of the evidence that an attorney, party, or pro se litigant engaged in advancing a frivolous claim or defense, the attorney, party, or pro se litigant shall not be sanctioned. </w:t>
      </w:r>
    </w:p>
    <w:p w:rsidR="000C3931" w:rsidRDefault="000C7179" w:rsidP="000C3931">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C7179">
        <w:tab/>
      </w:r>
      <w:r>
        <w:rPr>
          <w:u w:val="single"/>
        </w:rPr>
        <w:t>(3)</w:t>
      </w:r>
      <w:r w:rsidRPr="000C7179">
        <w:tab/>
      </w:r>
      <w:r w:rsidR="000C3931">
        <w:rPr>
          <w:u w:val="single"/>
        </w:rPr>
        <w:t>A case dismissed by a directed verdict or summary judgment is presumed to be frivolous, per se, and sanctions described in subsection (G) must be ordered by the court, unless the court finds for good cause shown it was not frivolous or sanctions should not be imposed.</w:t>
      </w:r>
      <w:r w:rsidR="000C3931">
        <w:t>”</w:t>
      </w:r>
    </w:p>
    <w:p w:rsidR="000C3931" w:rsidRDefault="000C3931" w:rsidP="000C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C7179" w:rsidRDefault="000C3931" w:rsidP="000C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C14C15" w:rsidRDefault="000C3931" w:rsidP="000C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4C15" w:rsidRDefault="00C14C15" w:rsidP="009B32FE">
      <w:pPr>
        <w:suppressAutoHyphens/>
        <w:jc w:val="both"/>
        <w:rPr>
          <w:rFonts w:eastAsia="Times New Roman"/>
        </w:rPr>
      </w:pPr>
    </w:p>
    <w:sectPr w:rsidR="00C14C15" w:rsidSect="009B32F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CBB" w:rsidRDefault="00381CBB" w:rsidP="00522CE0">
      <w:r>
        <w:separator/>
      </w:r>
    </w:p>
  </w:endnote>
  <w:endnote w:type="continuationSeparator" w:id="0">
    <w:p w:rsidR="00381CBB" w:rsidRDefault="00381C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15F580-3025-4338-8001-B185FBCA8206}"/>
    <w:embedBold r:id="rId2" w:fontKey="{EE419A7F-3CAD-4714-A078-8BC9D22CE2A8}"/>
  </w:font>
  <w:font w:name="Calibri">
    <w:panose1 w:val="020F0502020204030204"/>
    <w:charset w:val="00"/>
    <w:family w:val="swiss"/>
    <w:pitch w:val="variable"/>
    <w:sig w:usb0="E10002FF" w:usb1="4000ACFF" w:usb2="00000009" w:usb3="00000000" w:csb0="0000019F" w:csb1="00000000"/>
    <w:embedRegular r:id="rId3" w:fontKey="{AE068E58-9D22-4CBB-A6E1-1CE140C63C91}"/>
    <w:embedBold r:id="rId4" w:fontKey="{1BA30D52-0427-436D-8C60-33256F42E925}"/>
  </w:font>
  <w:font w:name="Cambria">
    <w:panose1 w:val="02040503050406030204"/>
    <w:charset w:val="00"/>
    <w:family w:val="roman"/>
    <w:pitch w:val="variable"/>
    <w:sig w:usb0="E00002FF" w:usb1="400004FF" w:usb2="00000000" w:usb3="00000000" w:csb0="0000019F" w:csb1="00000000"/>
    <w:embedRegular r:id="rId5" w:fontKey="{920E9938-8CA0-40DC-9466-8EDE6EB46C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2FE" w:rsidRPr="00C14C15" w:rsidRDefault="009B32FE" w:rsidP="00C14C15">
    <w:pPr>
      <w:pStyle w:val="Footer"/>
      <w:tabs>
        <w:tab w:val="clear" w:pos="4680"/>
        <w:tab w:val="clear" w:pos="9360"/>
        <w:tab w:val="center" w:pos="2995"/>
      </w:tabs>
      <w:spacing w:before="120"/>
    </w:pPr>
    <w:r>
      <w:t>[39]</w:t>
    </w:r>
    <w:r>
      <w:tab/>
    </w:r>
    <w:r w:rsidR="009A0C80">
      <w:fldChar w:fldCharType="begin"/>
    </w:r>
    <w:r w:rsidR="009A0C80">
      <w:instrText xml:space="preserve"> PAGE  \* MERGEFORMAT </w:instrText>
    </w:r>
    <w:r w:rsidR="009A0C80">
      <w:fldChar w:fldCharType="separate"/>
    </w:r>
    <w:r w:rsidR="009A0C80">
      <w:rPr>
        <w:noProof/>
      </w:rPr>
      <w:t>1</w:t>
    </w:r>
    <w:r w:rsidR="009A0C8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CBB" w:rsidRDefault="00381CBB" w:rsidP="00522CE0">
      <w:r>
        <w:separator/>
      </w:r>
    </w:p>
  </w:footnote>
  <w:footnote w:type="continuationSeparator" w:id="0">
    <w:p w:rsidR="00381CBB" w:rsidRDefault="00381C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2"/>
  </w:compat>
  <w:docVars>
    <w:docVar w:name="clipname" w:val="JUD0009.JS"/>
    <w:docVar w:name="CoverAttorneyInitials" w:val="JS"/>
    <w:docVar w:name="CoverAttorneyLastName" w:val="Shuler"/>
    <w:docVar w:name="CoverBillType" w:val="b"/>
    <w:docVar w:name="DraftFileName" w:val="JUD0009.JS.DOCX"/>
    <w:docVar w:name="DraftStenoName" w:val="Craft"/>
    <w:docVar w:name="dvBillNumber" w:val="39"/>
    <w:docVar w:name="dvBillNumberPrefix" w:val="S. "/>
    <w:docVar w:name="dvOriginalBody" w:val="Senate"/>
    <w:docVar w:name="fulldraftpath" w:val="L:\S-JUD\BILLS\McConnell\JUD0009.JS.DOCX"/>
    <w:docVar w:name="NameofBody" w:val="S"/>
    <w:docVar w:name="SenatorFolderName" w:val="McConnell"/>
    <w:docVar w:name="VGROUP2" w:val="S-JUD"/>
  </w:docVars>
  <w:rsids>
    <w:rsidRoot w:val="009108E9"/>
    <w:rsid w:val="000141EB"/>
    <w:rsid w:val="00042AC1"/>
    <w:rsid w:val="00046516"/>
    <w:rsid w:val="000A4D08"/>
    <w:rsid w:val="000A6988"/>
    <w:rsid w:val="000B0720"/>
    <w:rsid w:val="000B5EAF"/>
    <w:rsid w:val="000C3931"/>
    <w:rsid w:val="000C7179"/>
    <w:rsid w:val="000E473B"/>
    <w:rsid w:val="000F002B"/>
    <w:rsid w:val="00107C3D"/>
    <w:rsid w:val="00126995"/>
    <w:rsid w:val="0016543B"/>
    <w:rsid w:val="00170561"/>
    <w:rsid w:val="00186AC9"/>
    <w:rsid w:val="00190F47"/>
    <w:rsid w:val="00197DF1"/>
    <w:rsid w:val="001B3DD9"/>
    <w:rsid w:val="001D3BAC"/>
    <w:rsid w:val="00206D3D"/>
    <w:rsid w:val="00221BD7"/>
    <w:rsid w:val="0024519E"/>
    <w:rsid w:val="00245C4E"/>
    <w:rsid w:val="00272FD1"/>
    <w:rsid w:val="002C5896"/>
    <w:rsid w:val="00307C2B"/>
    <w:rsid w:val="0031409E"/>
    <w:rsid w:val="003161EE"/>
    <w:rsid w:val="00325DDD"/>
    <w:rsid w:val="00333DF1"/>
    <w:rsid w:val="0033541C"/>
    <w:rsid w:val="00364389"/>
    <w:rsid w:val="00381CBB"/>
    <w:rsid w:val="003D6A5D"/>
    <w:rsid w:val="003D6E2B"/>
    <w:rsid w:val="003E7597"/>
    <w:rsid w:val="004273F6"/>
    <w:rsid w:val="00450668"/>
    <w:rsid w:val="00452CD7"/>
    <w:rsid w:val="00477696"/>
    <w:rsid w:val="004952FA"/>
    <w:rsid w:val="004A0A62"/>
    <w:rsid w:val="004B3593"/>
    <w:rsid w:val="004B6A22"/>
    <w:rsid w:val="004D168C"/>
    <w:rsid w:val="004D6923"/>
    <w:rsid w:val="004D7F37"/>
    <w:rsid w:val="004E6D4B"/>
    <w:rsid w:val="0051584C"/>
    <w:rsid w:val="00520D79"/>
    <w:rsid w:val="00522CE0"/>
    <w:rsid w:val="00523B02"/>
    <w:rsid w:val="00541FF6"/>
    <w:rsid w:val="00565148"/>
    <w:rsid w:val="00581497"/>
    <w:rsid w:val="00586B30"/>
    <w:rsid w:val="0058748C"/>
    <w:rsid w:val="00592567"/>
    <w:rsid w:val="00593361"/>
    <w:rsid w:val="005A5017"/>
    <w:rsid w:val="005A648C"/>
    <w:rsid w:val="005C684D"/>
    <w:rsid w:val="005F15E4"/>
    <w:rsid w:val="005F45A3"/>
    <w:rsid w:val="006051AB"/>
    <w:rsid w:val="00606D23"/>
    <w:rsid w:val="00641A16"/>
    <w:rsid w:val="006431BA"/>
    <w:rsid w:val="006B4B3C"/>
    <w:rsid w:val="006C74EA"/>
    <w:rsid w:val="006F32FC"/>
    <w:rsid w:val="00720D40"/>
    <w:rsid w:val="007318D4"/>
    <w:rsid w:val="00746551"/>
    <w:rsid w:val="00765784"/>
    <w:rsid w:val="007A4390"/>
    <w:rsid w:val="007C65B0"/>
    <w:rsid w:val="007E3B8F"/>
    <w:rsid w:val="007E5CB7"/>
    <w:rsid w:val="008314D2"/>
    <w:rsid w:val="008613A7"/>
    <w:rsid w:val="00865D18"/>
    <w:rsid w:val="00876415"/>
    <w:rsid w:val="008804AE"/>
    <w:rsid w:val="008B2F42"/>
    <w:rsid w:val="008E185F"/>
    <w:rsid w:val="008E282A"/>
    <w:rsid w:val="008E5870"/>
    <w:rsid w:val="008F023B"/>
    <w:rsid w:val="008F7524"/>
    <w:rsid w:val="00904E16"/>
    <w:rsid w:val="009108E9"/>
    <w:rsid w:val="00927C62"/>
    <w:rsid w:val="00931A96"/>
    <w:rsid w:val="00947DAD"/>
    <w:rsid w:val="00983951"/>
    <w:rsid w:val="00984124"/>
    <w:rsid w:val="00984640"/>
    <w:rsid w:val="00995C37"/>
    <w:rsid w:val="009A0C80"/>
    <w:rsid w:val="009B32FE"/>
    <w:rsid w:val="009C118A"/>
    <w:rsid w:val="009E073A"/>
    <w:rsid w:val="00A02011"/>
    <w:rsid w:val="00A1230C"/>
    <w:rsid w:val="00A35165"/>
    <w:rsid w:val="00A4011E"/>
    <w:rsid w:val="00A67D1A"/>
    <w:rsid w:val="00A700B7"/>
    <w:rsid w:val="00A86015"/>
    <w:rsid w:val="00A97510"/>
    <w:rsid w:val="00AE59C8"/>
    <w:rsid w:val="00AF1216"/>
    <w:rsid w:val="00B030B6"/>
    <w:rsid w:val="00B10098"/>
    <w:rsid w:val="00B10E10"/>
    <w:rsid w:val="00B35389"/>
    <w:rsid w:val="00B450FF"/>
    <w:rsid w:val="00B47189"/>
    <w:rsid w:val="00B945C5"/>
    <w:rsid w:val="00BA20EA"/>
    <w:rsid w:val="00BC0A56"/>
    <w:rsid w:val="00C02DEF"/>
    <w:rsid w:val="00C14C15"/>
    <w:rsid w:val="00C1705E"/>
    <w:rsid w:val="00C23348"/>
    <w:rsid w:val="00C31BCF"/>
    <w:rsid w:val="00C6454A"/>
    <w:rsid w:val="00C74052"/>
    <w:rsid w:val="00CB187A"/>
    <w:rsid w:val="00CC4324"/>
    <w:rsid w:val="00CD7C71"/>
    <w:rsid w:val="00D027C3"/>
    <w:rsid w:val="00D1088B"/>
    <w:rsid w:val="00D156D2"/>
    <w:rsid w:val="00D63A88"/>
    <w:rsid w:val="00D77EC0"/>
    <w:rsid w:val="00D86943"/>
    <w:rsid w:val="00D91CF0"/>
    <w:rsid w:val="00DA47B9"/>
    <w:rsid w:val="00E037DE"/>
    <w:rsid w:val="00E677A1"/>
    <w:rsid w:val="00E91E2F"/>
    <w:rsid w:val="00EA3546"/>
    <w:rsid w:val="00EB1AAC"/>
    <w:rsid w:val="00EB47AE"/>
    <w:rsid w:val="00EC34E1"/>
    <w:rsid w:val="00ED0AE1"/>
    <w:rsid w:val="00F0234A"/>
    <w:rsid w:val="00F37692"/>
    <w:rsid w:val="00F52959"/>
    <w:rsid w:val="00F532D4"/>
    <w:rsid w:val="00F55884"/>
    <w:rsid w:val="00FB5399"/>
    <w:rsid w:val="00FC0450"/>
    <w:rsid w:val="00FC0D36"/>
    <w:rsid w:val="00FC536C"/>
    <w:rsid w:val="00FE6E8D"/>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15:docId w15:val="{96030ED0-EDC6-45F1-8E9C-BD60AFE20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9B32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9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515</Words>
  <Characters>2687</Characters>
  <Application>Microsoft Office Word</Application>
  <DocSecurity>4</DocSecurity>
  <Lines>93</Lines>
  <Paragraphs>31</Paragraphs>
  <ScaleCrop>false</ScaleCrop>
  <Company> </Company>
  <LinksUpToDate>false</LinksUpToDate>
  <CharactersWithSpaces>3190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 Frivolous lawsuits - South Carolina Legislature Online</dc:title>
  <dc:subject/>
  <dc:creator>JaneShuler</dc:creator>
  <cp:keywords/>
  <dc:description/>
  <cp:lastModifiedBy>N Cumfer</cp:lastModifiedBy>
  <cp:revision>2</cp:revision>
  <cp:lastPrinted>2010-10-13T20:04:00Z</cp:lastPrinted>
  <dcterms:created xsi:type="dcterms:W3CDTF">2014-11-21T20:24:00Z</dcterms:created>
  <dcterms:modified xsi:type="dcterms:W3CDTF">2014-11-21T20:24:00Z</dcterms:modified>
</cp:coreProperties>
</file>