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4072" w:rsidRDefault="00F54072" w:rsidP="00F54072">
      <w:pPr>
        <w:widowControl w:val="0"/>
        <w:jc w:val="center"/>
      </w:pPr>
      <w:bookmarkStart w:id="0" w:name="_GoBack"/>
      <w:bookmarkEnd w:id="0"/>
      <w:r w:rsidRPr="00F54072">
        <w:rPr>
          <w:b/>
        </w:rPr>
        <w:t>South Carolina General Assembly</w:t>
      </w:r>
    </w:p>
    <w:p w:rsidR="00F54072" w:rsidRDefault="00F54072" w:rsidP="00F54072">
      <w:pPr>
        <w:widowControl w:val="0"/>
        <w:jc w:val="center"/>
      </w:pPr>
      <w:r>
        <w:t>119th Session, 2011-2012</w:t>
      </w:r>
    </w:p>
    <w:p w:rsidR="00F54072" w:rsidRDefault="00F54072" w:rsidP="00F54072">
      <w:pPr>
        <w:widowControl w:val="0"/>
        <w:jc w:val="left"/>
      </w:pPr>
    </w:p>
    <w:p w:rsidR="00F54072" w:rsidRDefault="00F54072" w:rsidP="00F54072">
      <w:pPr>
        <w:widowControl w:val="0"/>
        <w:jc w:val="left"/>
        <w:rPr>
          <w:b/>
        </w:rPr>
      </w:pPr>
      <w:r w:rsidRPr="00F54072">
        <w:rPr>
          <w:b/>
        </w:rPr>
        <w:t>H. 4063</w:t>
      </w:r>
    </w:p>
    <w:p w:rsidR="00F54072" w:rsidRDefault="00F54072" w:rsidP="00F54072">
      <w:pPr>
        <w:widowControl w:val="0"/>
        <w:jc w:val="left"/>
        <w:rPr>
          <w:b/>
        </w:rPr>
      </w:pPr>
    </w:p>
    <w:p w:rsidR="00F54072" w:rsidRDefault="00F54072" w:rsidP="00F54072">
      <w:pPr>
        <w:widowControl w:val="0"/>
        <w:jc w:val="left"/>
      </w:pPr>
      <w:r w:rsidRPr="00F54072">
        <w:rPr>
          <w:b/>
        </w:rPr>
        <w:t>STATUS INFORMATION</w:t>
      </w:r>
    </w:p>
    <w:p w:rsidR="00F54072" w:rsidRDefault="00F54072" w:rsidP="00F54072">
      <w:pPr>
        <w:widowControl w:val="0"/>
        <w:jc w:val="left"/>
      </w:pPr>
    </w:p>
    <w:p w:rsidR="00F54072" w:rsidRDefault="00F54072" w:rsidP="00F54072">
      <w:pPr>
        <w:widowControl w:val="0"/>
        <w:jc w:val="left"/>
      </w:pPr>
      <w:r>
        <w:t>General Bill</w:t>
      </w:r>
    </w:p>
    <w:p w:rsidR="00F54072" w:rsidRDefault="00F54072" w:rsidP="00F54072">
      <w:pPr>
        <w:widowControl w:val="0"/>
        <w:jc w:val="left"/>
      </w:pPr>
      <w:r>
        <w:t>Sponsors: Reps. Murphy and McCoy</w:t>
      </w:r>
    </w:p>
    <w:p w:rsidR="00F54072" w:rsidRDefault="00F54072" w:rsidP="00F54072">
      <w:pPr>
        <w:widowControl w:val="0"/>
        <w:jc w:val="left"/>
      </w:pPr>
      <w:r>
        <w:t>Document Path: l:\council\bills\ms\7342ahb11.docx</w:t>
      </w:r>
    </w:p>
    <w:p w:rsidR="00F54072" w:rsidRDefault="00F54072" w:rsidP="00F54072">
      <w:pPr>
        <w:widowControl w:val="0"/>
        <w:jc w:val="left"/>
      </w:pPr>
    </w:p>
    <w:p w:rsidR="00F54072" w:rsidRDefault="00F54072" w:rsidP="00F54072">
      <w:pPr>
        <w:widowControl w:val="0"/>
        <w:jc w:val="left"/>
      </w:pPr>
      <w:r>
        <w:t>Introduced in the House on April 12, 2011</w:t>
      </w:r>
    </w:p>
    <w:p w:rsidR="00F54072" w:rsidRDefault="00F54072" w:rsidP="00F54072">
      <w:pPr>
        <w:widowControl w:val="0"/>
        <w:jc w:val="left"/>
      </w:pPr>
      <w:r>
        <w:t xml:space="preserve">Currently residing in the House Committee on </w:t>
      </w:r>
      <w:r w:rsidRPr="00F54072">
        <w:rPr>
          <w:b/>
        </w:rPr>
        <w:t>Judiciary</w:t>
      </w:r>
    </w:p>
    <w:p w:rsidR="00F54072" w:rsidRDefault="00F54072" w:rsidP="00F54072">
      <w:pPr>
        <w:widowControl w:val="0"/>
        <w:jc w:val="left"/>
      </w:pPr>
    </w:p>
    <w:p w:rsidR="00F54072" w:rsidRDefault="00F54072" w:rsidP="00F54072">
      <w:pPr>
        <w:widowControl w:val="0"/>
        <w:jc w:val="left"/>
      </w:pPr>
      <w:r>
        <w:t xml:space="preserve">Summary: </w:t>
      </w:r>
      <w:r w:rsidR="00494869">
        <w:t>Forfeiture procedures for property seized</w:t>
      </w:r>
    </w:p>
    <w:p w:rsidR="00F54072" w:rsidRDefault="00F54072" w:rsidP="00F54072">
      <w:pPr>
        <w:widowControl w:val="0"/>
        <w:jc w:val="left"/>
      </w:pPr>
    </w:p>
    <w:p w:rsidR="00F54072" w:rsidRDefault="00F54072" w:rsidP="00F54072">
      <w:pPr>
        <w:widowControl w:val="0"/>
        <w:jc w:val="left"/>
      </w:pPr>
    </w:p>
    <w:p w:rsidR="00F54072" w:rsidRDefault="00F54072" w:rsidP="00F54072">
      <w:pPr>
        <w:widowControl w:val="0"/>
        <w:tabs>
          <w:tab w:val="center" w:pos="590"/>
          <w:tab w:val="center" w:pos="1440"/>
          <w:tab w:val="left" w:pos="1872"/>
          <w:tab w:val="left" w:pos="9187"/>
        </w:tabs>
        <w:jc w:val="left"/>
      </w:pPr>
      <w:r w:rsidRPr="00F54072">
        <w:rPr>
          <w:b/>
        </w:rPr>
        <w:t>HISTORY OF LEGISLATIVE ACTIONS</w:t>
      </w:r>
    </w:p>
    <w:p w:rsidR="00F54072" w:rsidRDefault="00F54072" w:rsidP="00F54072">
      <w:pPr>
        <w:widowControl w:val="0"/>
        <w:tabs>
          <w:tab w:val="center" w:pos="590"/>
          <w:tab w:val="center" w:pos="1440"/>
          <w:tab w:val="left" w:pos="1872"/>
          <w:tab w:val="left" w:pos="9187"/>
        </w:tabs>
        <w:jc w:val="left"/>
      </w:pPr>
    </w:p>
    <w:p w:rsidR="00F54072" w:rsidRPr="00F54072" w:rsidRDefault="00F54072" w:rsidP="00F54072">
      <w:pPr>
        <w:widowControl w:val="0"/>
        <w:tabs>
          <w:tab w:val="center" w:pos="590"/>
          <w:tab w:val="center" w:pos="1440"/>
          <w:tab w:val="left" w:pos="1872"/>
          <w:tab w:val="left" w:pos="9187"/>
        </w:tabs>
        <w:jc w:val="left"/>
      </w:pPr>
      <w:r w:rsidRPr="00F54072">
        <w:rPr>
          <w:u w:val="single"/>
        </w:rPr>
        <w:tab/>
        <w:t>Date</w:t>
      </w:r>
      <w:r w:rsidRPr="00F54072">
        <w:rPr>
          <w:u w:val="single"/>
        </w:rPr>
        <w:tab/>
        <w:t>Body</w:t>
      </w:r>
      <w:r w:rsidRPr="00F54072">
        <w:rPr>
          <w:u w:val="single"/>
        </w:rPr>
        <w:tab/>
        <w:t>Action Description with journal page number</w:t>
      </w:r>
      <w:r w:rsidRPr="00F54072">
        <w:rPr>
          <w:u w:val="single"/>
        </w:rPr>
        <w:tab/>
      </w:r>
    </w:p>
    <w:p w:rsidR="00D95BC5" w:rsidRDefault="00D95BC5" w:rsidP="00D95BC5">
      <w:pPr>
        <w:widowControl w:val="0"/>
        <w:tabs>
          <w:tab w:val="right" w:pos="1008"/>
          <w:tab w:val="left" w:pos="1152"/>
          <w:tab w:val="left" w:pos="1872"/>
          <w:tab w:val="left" w:pos="9187"/>
        </w:tabs>
        <w:ind w:left="2088" w:hanging="2088"/>
        <w:jc w:val="left"/>
      </w:pPr>
      <w:r>
        <w:tab/>
        <w:t>4/12/2011</w:t>
      </w:r>
      <w:r>
        <w:tab/>
        <w:t>House</w:t>
      </w:r>
      <w:r>
        <w:tab/>
      </w:r>
      <w:r w:rsidRPr="007C2892">
        <w:t>Introduced and read first time (</w:t>
      </w:r>
      <w:hyperlink r:id="rId7" w:history="1">
        <w:r w:rsidRPr="007C2892">
          <w:rPr>
            <w:rStyle w:val="Hyperlink"/>
          </w:rPr>
          <w:t>House Journal</w:t>
        </w:r>
        <w:r w:rsidRPr="007C2892">
          <w:rPr>
            <w:rStyle w:val="Hyperlink"/>
          </w:rPr>
          <w:noBreakHyphen/>
          <w:t>page 11</w:t>
        </w:r>
      </w:hyperlink>
      <w:r w:rsidRPr="007C2892">
        <w:t>)</w:t>
      </w:r>
    </w:p>
    <w:p w:rsidR="00D95BC5" w:rsidRDefault="00D95BC5" w:rsidP="00D95BC5">
      <w:pPr>
        <w:widowControl w:val="0"/>
        <w:tabs>
          <w:tab w:val="right" w:pos="1008"/>
          <w:tab w:val="left" w:pos="1152"/>
          <w:tab w:val="left" w:pos="1872"/>
          <w:tab w:val="left" w:pos="9187"/>
        </w:tabs>
        <w:ind w:left="2088" w:hanging="2088"/>
        <w:jc w:val="left"/>
      </w:pPr>
      <w:r>
        <w:tab/>
        <w:t>4/12/2011</w:t>
      </w:r>
      <w:r>
        <w:tab/>
        <w:t>House</w:t>
      </w:r>
      <w:r>
        <w:tab/>
      </w:r>
      <w:r w:rsidRPr="007C2892">
        <w:t>Ref</w:t>
      </w:r>
      <w:r>
        <w:t xml:space="preserve">erred to Committee on </w:t>
      </w:r>
      <w:r w:rsidRPr="007C2892">
        <w:rPr>
          <w:b/>
        </w:rPr>
        <w:t>Judiciary</w:t>
      </w:r>
      <w:r>
        <w:t xml:space="preserve"> </w:t>
      </w:r>
      <w:r w:rsidRPr="007C2892">
        <w:t>(</w:t>
      </w:r>
      <w:hyperlink r:id="rId8" w:history="1">
        <w:r w:rsidRPr="007C2892">
          <w:rPr>
            <w:rStyle w:val="Hyperlink"/>
          </w:rPr>
          <w:t>House Journal</w:t>
        </w:r>
        <w:r w:rsidRPr="007C2892">
          <w:rPr>
            <w:rStyle w:val="Hyperlink"/>
          </w:rPr>
          <w:noBreakHyphen/>
          <w:t>page 11</w:t>
        </w:r>
      </w:hyperlink>
      <w:r w:rsidRPr="007C2892">
        <w:t>)</w:t>
      </w:r>
    </w:p>
    <w:p w:rsidR="00D95BC5" w:rsidRDefault="00D95BC5" w:rsidP="00D95BC5">
      <w:pPr>
        <w:widowControl w:val="0"/>
        <w:tabs>
          <w:tab w:val="right" w:pos="1008"/>
          <w:tab w:val="left" w:pos="1152"/>
          <w:tab w:val="left" w:pos="1872"/>
          <w:tab w:val="left" w:pos="9187"/>
        </w:tabs>
        <w:ind w:left="2088" w:hanging="2088"/>
        <w:jc w:val="left"/>
      </w:pPr>
    </w:p>
    <w:p w:rsidR="00F54072" w:rsidRPr="00F54072" w:rsidRDefault="00F54072" w:rsidP="00F54072">
      <w:pPr>
        <w:widowControl w:val="0"/>
        <w:tabs>
          <w:tab w:val="right" w:pos="1008"/>
          <w:tab w:val="left" w:pos="1152"/>
          <w:tab w:val="left" w:pos="1872"/>
          <w:tab w:val="left" w:pos="9187"/>
        </w:tabs>
        <w:ind w:left="2088" w:hanging="2088"/>
        <w:jc w:val="left"/>
      </w:pPr>
    </w:p>
    <w:p w:rsidR="00F54072" w:rsidRDefault="00F54072" w:rsidP="00F54072">
      <w:pPr>
        <w:widowControl w:val="0"/>
        <w:jc w:val="left"/>
      </w:pPr>
      <w:r w:rsidRPr="00F54072">
        <w:rPr>
          <w:b/>
        </w:rPr>
        <w:t>VERSIONS OF THIS BILL</w:t>
      </w:r>
    </w:p>
    <w:p w:rsidR="00F54072" w:rsidRDefault="00F54072" w:rsidP="00F54072">
      <w:pPr>
        <w:widowControl w:val="0"/>
        <w:jc w:val="left"/>
      </w:pPr>
    </w:p>
    <w:p w:rsidR="00F54072" w:rsidRDefault="00862739" w:rsidP="00F54072">
      <w:pPr>
        <w:widowControl w:val="0"/>
        <w:jc w:val="left"/>
      </w:pPr>
      <w:hyperlink r:id="rId9" w:history="1">
        <w:r w:rsidR="00F54072">
          <w:rPr>
            <w:rStyle w:val="Hyperlink"/>
          </w:rPr>
          <w:t>4/12/2011</w:t>
        </w:r>
      </w:hyperlink>
    </w:p>
    <w:p w:rsidR="00F54072" w:rsidRDefault="00F54072" w:rsidP="00F54072"/>
    <w:p w:rsidR="00F54072" w:rsidRDefault="00F54072" w:rsidP="00F54072">
      <w:pPr>
        <w:sectPr w:rsidR="00F54072" w:rsidSect="00F54072">
          <w:pgSz w:w="12240" w:h="15840" w:code="1"/>
          <w:pgMar w:top="1080" w:right="1440" w:bottom="1080" w:left="1440" w:header="720" w:footer="720" w:gutter="0"/>
          <w:cols w:space="720"/>
          <w:noEndnote/>
          <w:docGrid w:linePitch="360"/>
        </w:sectPr>
      </w:pPr>
    </w:p>
    <w:p w:rsidR="000804E1" w:rsidRDefault="000804E1" w:rsidP="000804E1">
      <w:pPr>
        <w:pStyle w:val="BillDots"/>
      </w:pPr>
    </w:p>
    <w:p w:rsidR="000804E1" w:rsidRDefault="000804E1" w:rsidP="000804E1">
      <w:pPr>
        <w:pStyle w:val="Numbersforbills"/>
      </w:pPr>
    </w:p>
    <w:p w:rsidR="000804E1" w:rsidRDefault="000804E1" w:rsidP="0008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4E1" w:rsidRDefault="000804E1" w:rsidP="0008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DC2" w:rsidRDefault="00FC7DC2" w:rsidP="0008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4E1" w:rsidRDefault="000804E1" w:rsidP="0008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4E1" w:rsidRDefault="000804E1" w:rsidP="0008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4E1" w:rsidRDefault="000804E1" w:rsidP="0008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5F20">
        <w:rPr>
          <w:b/>
          <w:sz w:val="30"/>
          <w:szCs w:val="30"/>
        </w:rPr>
        <w:t>BILL</w:t>
      </w:r>
    </w:p>
    <w:p w:rsidR="001F102B" w:rsidRDefault="001F102B" w:rsidP="005E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3" w:name="titletop"/>
      <w:bookmarkEnd w:id="3"/>
    </w:p>
    <w:p w:rsidR="001F102B" w:rsidRDefault="001F102B" w:rsidP="005E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TO AMEND SECTION 44</w:t>
      </w:r>
      <w:r w:rsidR="00382AE7">
        <w:noBreakHyphen/>
      </w:r>
      <w:r>
        <w:t>53</w:t>
      </w:r>
      <w:r w:rsidR="00382AE7">
        <w:noBreakHyphen/>
      </w:r>
      <w:r>
        <w:t xml:space="preserve">530, AS AMENDED, </w:t>
      </w:r>
      <w:r w:rsidR="000804E1">
        <w:t xml:space="preserve"> CODE OF LAWS OF SOUTH CAROLINA, 1976, </w:t>
      </w:r>
      <w:r>
        <w:t>RELATING TO CONTROLLED SUBSTANCES AND FORFEITURE PROCEDURES FOR PROPERTY SEIZED ACCORDINGLY, SO AS TO ALLOW PETITION TO THE MAGISTRATES COURT IF THE VALUE OF THE PROPERTY SEIZED IS LESS THAN SEVEN THOUSAND FIVE HUNDRED DOLLARS, TO REQUIRE NOTICE TO OWNERS O</w:t>
      </w:r>
      <w:r w:rsidR="00316E97">
        <w:t>F RECORD, LIENHOLDERS OF RECORD</w:t>
      </w:r>
      <w:r>
        <w:t xml:space="preserve">, AND OTHER INTERESTED PARTIES BY CERTIFIED MAIL, AND TO PROVIDE THAT A PETITION FOR FORFEITURE IS NOT SUBJECT TO A FILING FEE.  </w:t>
      </w:r>
    </w:p>
    <w:p w:rsidR="00EF5F20" w:rsidRDefault="00EF5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5F20" w:rsidRDefault="00EF5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5F20" w:rsidRDefault="00EF5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F20" w:rsidRDefault="00EF5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2AE7">
        <w:t>Section 44</w:t>
      </w:r>
      <w:r w:rsidR="00382AE7">
        <w:noBreakHyphen/>
        <w:t>53</w:t>
      </w:r>
      <w:r w:rsidR="00382AE7">
        <w:noBreakHyphen/>
        <w:t>530(a), as last amended by Act 345 of 2006</w:t>
      </w:r>
      <w:r w:rsidR="00316E97">
        <w:t>,</w:t>
      </w:r>
      <w:r w:rsidR="00382AE7">
        <w:t xml:space="preserve"> and (k) of the 1976 Code is further amended to read:</w:t>
      </w:r>
    </w:p>
    <w:p w:rsidR="001F102B" w:rsidRDefault="001F10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02B" w:rsidRPr="00750398" w:rsidRDefault="001F102B" w:rsidP="001F1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50398">
        <w:t>(a)</w:t>
      </w:r>
      <w:r>
        <w:tab/>
      </w:r>
      <w:r w:rsidRPr="00750398">
        <w:t>Forfeiture of property defined in Section 44</w:t>
      </w:r>
      <w:r w:rsidR="00382AE7">
        <w:noBreakHyphen/>
      </w:r>
      <w:r w:rsidRPr="00750398">
        <w:t>53</w:t>
      </w:r>
      <w:r w:rsidR="00382AE7">
        <w:noBreakHyphen/>
      </w:r>
      <w:r w:rsidRPr="00750398">
        <w:t>520 must be accomplished by petition of the Attorney General or his designee or the circuit solicitor or his designee to the court of common pleas</w:t>
      </w:r>
      <w:r w:rsidR="00382AE7">
        <w:rPr>
          <w:u w:val="single"/>
        </w:rPr>
        <w:t>, or the magistrates court if the value of the property seized is less than seven thousand five hundred dollars,</w:t>
      </w:r>
      <w:r w:rsidRPr="00750398">
        <w:t xml:space="preserve"> for the jurisdiction where the items were seized.</w:t>
      </w:r>
      <w:r w:rsidR="00382AE7">
        <w:t xml:space="preserve">  </w:t>
      </w:r>
      <w:r w:rsidR="00382AE7">
        <w:rPr>
          <w:u w:val="single"/>
        </w:rPr>
        <w:t>The petition is not subject to the filing fee established pursuant to Section 8</w:t>
      </w:r>
      <w:r w:rsidR="00382AE7">
        <w:rPr>
          <w:u w:val="single"/>
        </w:rPr>
        <w:noBreakHyphen/>
        <w:t>21</w:t>
      </w:r>
      <w:r w:rsidR="00382AE7">
        <w:rPr>
          <w:u w:val="single"/>
        </w:rPr>
        <w:noBreakHyphen/>
        <w:t>310(11)(a).</w:t>
      </w:r>
      <w:r w:rsidRPr="00750398">
        <w:t xml:space="preserve">  The petition must be submitted to the court within a reasonable time period following seizure and shall set forth the facts upon which the seizure was made.  </w:t>
      </w:r>
      <w:r w:rsidRPr="00750398">
        <w:lastRenderedPageBreak/>
        <w:t xml:space="preserve">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w:t>
      </w:r>
      <w:r w:rsidRPr="00382AE7">
        <w:rPr>
          <w:strike/>
        </w:rPr>
        <w:t>and</w:t>
      </w:r>
      <w:r w:rsidR="00382AE7">
        <w:rPr>
          <w:u w:val="single"/>
        </w:rPr>
        <w:t>,</w:t>
      </w:r>
      <w:r w:rsidRPr="00750398">
        <w:t xml:space="preserve"> lienholders of record</w:t>
      </w:r>
      <w:r w:rsidR="00382AE7">
        <w:rPr>
          <w:u w:val="single"/>
        </w:rPr>
        <w:t>, and other persons with interests in the property as provided in this subsection,</w:t>
      </w:r>
      <w:r w:rsidRPr="00750398">
        <w:t xml:space="preserve"> may be served by certified mail,</w:t>
      </w:r>
      <w:r w:rsidR="00431D13">
        <w:t xml:space="preserve"> </w:t>
      </w:r>
      <w:r w:rsidRPr="00750398">
        <w:t>to the last known address as appears in the records of the governmental agency which records the title or lien</w:t>
      </w:r>
      <w:r w:rsidR="00431D13">
        <w:t xml:space="preserve"> </w:t>
      </w:r>
      <w:r w:rsidR="00431D13">
        <w:rPr>
          <w:u w:val="single"/>
        </w:rPr>
        <w:t>and service may not be made by publication</w:t>
      </w:r>
      <w:r w:rsidRPr="00750398">
        <w:t xml:space="preserve">. </w:t>
      </w:r>
    </w:p>
    <w:p w:rsidR="001F102B" w:rsidRPr="00750398" w:rsidRDefault="00382AE7" w:rsidP="001F1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F102B" w:rsidRPr="00750398">
        <w:t>The judge shall determine whether the property is subject to forfeiture and order the forfeiture confirmed.  If the judge finds a forfeiture, he shall then determine the lienholder</w:t>
      </w:r>
      <w:r w:rsidRPr="00382AE7">
        <w:t>’</w:t>
      </w:r>
      <w:r w:rsidR="001F102B" w:rsidRPr="00750398">
        <w:t>s interest as provided in this article.  The judge shall determine whether any property must be returned to a law enforcement agency pursuant to Section 44</w:t>
      </w:r>
      <w:r>
        <w:noBreakHyphen/>
      </w:r>
      <w:r w:rsidR="001F102B" w:rsidRPr="00750398">
        <w:t>53</w:t>
      </w:r>
      <w:r>
        <w:noBreakHyphen/>
      </w:r>
      <w:r w:rsidR="001F102B" w:rsidRPr="00750398">
        <w:t xml:space="preserve">582. </w:t>
      </w:r>
    </w:p>
    <w:p w:rsidR="001F102B" w:rsidRPr="00750398" w:rsidRDefault="001F102B" w:rsidP="001F1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 xml:space="preserve">If there is a dispute as to the division of the proceeds of forfeited property among participating law enforcement agencies, this issue must be determined by the judge.  The proceeds from a sale of property, conveyances, and equipment must be disposed of pursuant to subsection (e) of this section. </w:t>
      </w:r>
    </w:p>
    <w:p w:rsidR="001F102B" w:rsidRPr="00750398" w:rsidRDefault="001F102B" w:rsidP="001F1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 xml:space="preserve">All property, conveyances, and equipment which will not be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Budget and Control Board. </w:t>
      </w:r>
    </w:p>
    <w:p w:rsidR="00382AE7" w:rsidRDefault="001F102B" w:rsidP="001F1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58F0">
        <w:rPr>
          <w:strike/>
        </w:rPr>
        <w:t>I</w:t>
      </w:r>
      <w:r w:rsidRPr="00431D13">
        <w:rPr>
          <w:strike/>
        </w:rPr>
        <w:t>f a defendant or his attorney sends written notice to the petitioner or the seizing agency of his interest in the subject property, service may be made by mailing a copy of the petition to the address provided and service may not be made by publication.</w:t>
      </w:r>
      <w:r w:rsidRPr="00750398">
        <w:t xml:space="preserve">  </w:t>
      </w:r>
      <w:r w:rsidR="00431D13">
        <w:tab/>
      </w:r>
      <w:r w:rsidRPr="00750398">
        <w:t>In addition, service by publication may not be used for a person incarcerated in a South Carolina Department of Corrections facility, a county detention facility, or other facility where inmates are housed for the county where the seizing agency is located</w:t>
      </w:r>
      <w:r w:rsidR="00827610">
        <w:t xml:space="preserve"> </w:t>
      </w:r>
      <w:r w:rsidR="00827610">
        <w:rPr>
          <w:u w:val="single"/>
        </w:rPr>
        <w:t>and if service cannot be made through the appropriate institution, service must be made to the person’s last known address</w:t>
      </w:r>
      <w:r w:rsidRPr="00750398">
        <w:t xml:space="preserve">.  </w:t>
      </w:r>
      <w:r w:rsidRPr="00827610">
        <w:rPr>
          <w:strike/>
        </w:rPr>
        <w:t>The seizing agency shall check the appropriate institutions after receiving an affidavit of nonservice before attempting service by publication.</w:t>
      </w:r>
    </w:p>
    <w:p w:rsidR="00382AE7" w:rsidRDefault="00382AE7" w:rsidP="001F1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102B" w:rsidRPr="00750398" w:rsidRDefault="00382AE7" w:rsidP="001F1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(k)</w:t>
      </w:r>
      <w:r>
        <w:tab/>
      </w:r>
      <w:r w:rsidRPr="00750398">
        <w:t>In all cases where the criminal offense giving rise to the forfeiture of property described in Section 44</w:t>
      </w:r>
      <w:r>
        <w:noBreakHyphen/>
      </w:r>
      <w:r w:rsidRPr="00750398">
        <w:t>53</w:t>
      </w:r>
      <w:r>
        <w:noBreakHyphen/>
      </w:r>
      <w:r w:rsidRPr="00750398">
        <w:t>520 is prosecuted in a state court, the forfeiture proceeding must be accomplished in the court of common pleas</w:t>
      </w:r>
      <w:r>
        <w:rPr>
          <w:u w:val="single"/>
        </w:rPr>
        <w:t>, or the magistrates court if the value of the property seized is less than seven thousand five hundred dollars,</w:t>
      </w:r>
      <w:r w:rsidRPr="00750398">
        <w:t xml:space="preserve"> for the jurisdiction where the items were seized.</w:t>
      </w:r>
      <w:r w:rsidR="001F102B">
        <w:t>”</w:t>
      </w:r>
    </w:p>
    <w:p w:rsidR="001F102B" w:rsidRDefault="001F10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AE7" w:rsidRDefault="00382A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82AE7" w:rsidRDefault="00382A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5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82AE7">
        <w:t>3</w:t>
      </w:r>
      <w:r>
        <w:t>.</w:t>
      </w:r>
      <w:r>
        <w:tab/>
        <w:t>This act takes effect upon approval by the Governor.</w:t>
      </w:r>
    </w:p>
    <w:p w:rsidR="005E3644" w:rsidRDefault="00382AE7" w:rsidP="00C3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3644" w:rsidRDefault="005E3644" w:rsidP="00F54072">
      <w:pPr>
        <w:suppressAutoHyphens/>
      </w:pPr>
    </w:p>
    <w:sectPr w:rsidR="005E3644" w:rsidSect="00F5407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2AE7" w:rsidRDefault="00382AE7" w:rsidP="009F0C77">
      <w:r>
        <w:separator/>
      </w:r>
    </w:p>
  </w:endnote>
  <w:endnote w:type="continuationSeparator" w:id="0">
    <w:p w:rsidR="00382AE7" w:rsidRDefault="00382A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65F132-95C9-44BC-9793-A7E62D8EDC17}"/>
    <w:embedBold r:id="rId2" w:fontKey="{4C8442BF-7424-4F7D-A400-B8142A6C0E68}"/>
  </w:font>
  <w:font w:name="Calibri">
    <w:panose1 w:val="020F0502020204030204"/>
    <w:charset w:val="00"/>
    <w:family w:val="swiss"/>
    <w:pitch w:val="variable"/>
    <w:sig w:usb0="E10002FF" w:usb1="4000ACFF" w:usb2="00000009" w:usb3="00000000" w:csb0="0000019F" w:csb1="00000000"/>
    <w:embedRegular r:id="rId3" w:fontKey="{BBF3B059-0480-4134-951D-63CC66C25C6E}"/>
  </w:font>
  <w:font w:name="Tahoma">
    <w:panose1 w:val="020B0604030504040204"/>
    <w:charset w:val="00"/>
    <w:family w:val="swiss"/>
    <w:pitch w:val="variable"/>
    <w:sig w:usb0="21002A87" w:usb1="80000000" w:usb2="00000008" w:usb3="00000000" w:csb0="000101FF" w:csb1="00000000"/>
    <w:embedRegular r:id="rId4" w:fontKey="{DA515F91-D987-4A51-907F-5B7238D3D2E0}"/>
  </w:font>
  <w:font w:name="Cambria">
    <w:panose1 w:val="02040503050406030204"/>
    <w:charset w:val="00"/>
    <w:family w:val="roman"/>
    <w:pitch w:val="variable"/>
    <w:sig w:usb0="E00002FF" w:usb1="400004FF" w:usb2="00000000" w:usb3="00000000" w:csb0="0000019F" w:csb1="00000000"/>
    <w:embedRegular r:id="rId5" w:fontKey="{04EDA91A-08D9-421F-A8CE-5006ABBBF3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072" w:rsidRPr="005E3644" w:rsidRDefault="00F54072" w:rsidP="005E3644">
    <w:pPr>
      <w:pStyle w:val="Footer"/>
      <w:tabs>
        <w:tab w:val="clear" w:pos="4680"/>
        <w:tab w:val="clear" w:pos="9360"/>
        <w:tab w:val="center" w:pos="2995"/>
      </w:tabs>
      <w:spacing w:before="120"/>
    </w:pPr>
    <w:r>
      <w:t>[4063]</w:t>
    </w:r>
    <w:r>
      <w:tab/>
    </w:r>
    <w:r w:rsidR="00862739">
      <w:fldChar w:fldCharType="begin"/>
    </w:r>
    <w:r w:rsidR="00862739">
      <w:instrText xml:space="preserve"> PAGE  \* MERGEFORMAT </w:instrText>
    </w:r>
    <w:r w:rsidR="00862739">
      <w:fldChar w:fldCharType="separate"/>
    </w:r>
    <w:r w:rsidR="00862739">
      <w:rPr>
        <w:noProof/>
      </w:rPr>
      <w:t>1</w:t>
    </w:r>
    <w:r w:rsidR="0086273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2AE7" w:rsidRDefault="00382AE7" w:rsidP="009F0C77">
      <w:r>
        <w:separator/>
      </w:r>
    </w:p>
  </w:footnote>
  <w:footnote w:type="continuationSeparator" w:id="0">
    <w:p w:rsidR="00382AE7" w:rsidRDefault="00382A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42AHB11"/>
    <w:docVar w:name="CoverBillType" w:val="b"/>
    <w:docVar w:name="docpath" w:val="L:\Council\bills\MS\7342AHB11.DOCX"/>
    <w:docVar w:name="dvBillNumber" w:val="4063"/>
    <w:docVar w:name="dvBillNumberPrefix" w:val="H. "/>
    <w:docVar w:name="dvOriginalBody" w:val="House"/>
    <w:docVar w:name="dvSteno" w:val="MS"/>
    <w:docVar w:name="NameofBody" w:val="h"/>
    <w:docVar w:name="vgroup2" w:val="Council"/>
  </w:docVars>
  <w:rsids>
    <w:rsidRoot w:val="00FF102D"/>
    <w:rsid w:val="00011869"/>
    <w:rsid w:val="000722DE"/>
    <w:rsid w:val="000804E1"/>
    <w:rsid w:val="000A341A"/>
    <w:rsid w:val="000E1785"/>
    <w:rsid w:val="000F40FA"/>
    <w:rsid w:val="0010776B"/>
    <w:rsid w:val="00133E66"/>
    <w:rsid w:val="00137344"/>
    <w:rsid w:val="001435A3"/>
    <w:rsid w:val="00150DAD"/>
    <w:rsid w:val="001A3DD2"/>
    <w:rsid w:val="001D08F2"/>
    <w:rsid w:val="001D525B"/>
    <w:rsid w:val="001D7F4F"/>
    <w:rsid w:val="001F102B"/>
    <w:rsid w:val="002321B6"/>
    <w:rsid w:val="00250967"/>
    <w:rsid w:val="002543C8"/>
    <w:rsid w:val="00284AAE"/>
    <w:rsid w:val="002E5912"/>
    <w:rsid w:val="00316E97"/>
    <w:rsid w:val="00325348"/>
    <w:rsid w:val="0032732C"/>
    <w:rsid w:val="00336AD0"/>
    <w:rsid w:val="00346725"/>
    <w:rsid w:val="0037079A"/>
    <w:rsid w:val="00382AE7"/>
    <w:rsid w:val="003A7A0B"/>
    <w:rsid w:val="003C41D7"/>
    <w:rsid w:val="003D01E8"/>
    <w:rsid w:val="003E5288"/>
    <w:rsid w:val="003F6D79"/>
    <w:rsid w:val="0041760A"/>
    <w:rsid w:val="00417C01"/>
    <w:rsid w:val="00431D13"/>
    <w:rsid w:val="0044218A"/>
    <w:rsid w:val="004809EE"/>
    <w:rsid w:val="00494869"/>
    <w:rsid w:val="00494C59"/>
    <w:rsid w:val="004D7483"/>
    <w:rsid w:val="004E31D9"/>
    <w:rsid w:val="004E7D54"/>
    <w:rsid w:val="004F3CFD"/>
    <w:rsid w:val="005273C6"/>
    <w:rsid w:val="00530A69"/>
    <w:rsid w:val="00545593"/>
    <w:rsid w:val="005772E4"/>
    <w:rsid w:val="00577C6C"/>
    <w:rsid w:val="005C2FE2"/>
    <w:rsid w:val="005C6799"/>
    <w:rsid w:val="005E2BC9"/>
    <w:rsid w:val="005E3644"/>
    <w:rsid w:val="00605102"/>
    <w:rsid w:val="006215AA"/>
    <w:rsid w:val="006913C9"/>
    <w:rsid w:val="0069470D"/>
    <w:rsid w:val="006F043A"/>
    <w:rsid w:val="00734F00"/>
    <w:rsid w:val="007516F0"/>
    <w:rsid w:val="007A70AE"/>
    <w:rsid w:val="00802002"/>
    <w:rsid w:val="00827610"/>
    <w:rsid w:val="008362E8"/>
    <w:rsid w:val="00844AD6"/>
    <w:rsid w:val="00862739"/>
    <w:rsid w:val="008A1768"/>
    <w:rsid w:val="008C01A8"/>
    <w:rsid w:val="008C3797"/>
    <w:rsid w:val="008F4429"/>
    <w:rsid w:val="0094021A"/>
    <w:rsid w:val="00940EB4"/>
    <w:rsid w:val="009C6A0B"/>
    <w:rsid w:val="009D4246"/>
    <w:rsid w:val="009F0C77"/>
    <w:rsid w:val="009F4DD1"/>
    <w:rsid w:val="00A41684"/>
    <w:rsid w:val="00A64E80"/>
    <w:rsid w:val="00A72BCD"/>
    <w:rsid w:val="00A741D9"/>
    <w:rsid w:val="00A833AB"/>
    <w:rsid w:val="00A9741D"/>
    <w:rsid w:val="00AC23A1"/>
    <w:rsid w:val="00AD4B17"/>
    <w:rsid w:val="00B24945"/>
    <w:rsid w:val="00B37381"/>
    <w:rsid w:val="00B412D4"/>
    <w:rsid w:val="00BB11C5"/>
    <w:rsid w:val="00BC4EEF"/>
    <w:rsid w:val="00BE3C22"/>
    <w:rsid w:val="00C0345E"/>
    <w:rsid w:val="00C3483A"/>
    <w:rsid w:val="00C37B59"/>
    <w:rsid w:val="00C74E9D"/>
    <w:rsid w:val="00C82FD3"/>
    <w:rsid w:val="00C92819"/>
    <w:rsid w:val="00CC6B7B"/>
    <w:rsid w:val="00CD2089"/>
    <w:rsid w:val="00CF45DC"/>
    <w:rsid w:val="00CF7B36"/>
    <w:rsid w:val="00D41F72"/>
    <w:rsid w:val="00D61EF9"/>
    <w:rsid w:val="00D73A67"/>
    <w:rsid w:val="00D95BC5"/>
    <w:rsid w:val="00D970A9"/>
    <w:rsid w:val="00DD6361"/>
    <w:rsid w:val="00DF3845"/>
    <w:rsid w:val="00DF58F0"/>
    <w:rsid w:val="00E41911"/>
    <w:rsid w:val="00E92EEF"/>
    <w:rsid w:val="00EF5F20"/>
    <w:rsid w:val="00F24442"/>
    <w:rsid w:val="00F50AE3"/>
    <w:rsid w:val="00F54072"/>
    <w:rsid w:val="00F67CF1"/>
    <w:rsid w:val="00F840F0"/>
    <w:rsid w:val="00FB0D0D"/>
    <w:rsid w:val="00FB43B4"/>
    <w:rsid w:val="00FC7DC2"/>
    <w:rsid w:val="00FE0B23"/>
    <w:rsid w:val="00FF1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D84CC4D-88DB-48BD-84D8-B76161FD2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2AE7"/>
    <w:rPr>
      <w:rFonts w:ascii="Tahoma" w:hAnsi="Tahoma" w:cs="Tahoma"/>
      <w:sz w:val="16"/>
      <w:szCs w:val="16"/>
    </w:rPr>
  </w:style>
  <w:style w:type="character" w:customStyle="1" w:styleId="BalloonTextChar">
    <w:name w:val="Balloon Text Char"/>
    <w:basedOn w:val="DefaultParagraphFont"/>
    <w:link w:val="BalloonText"/>
    <w:uiPriority w:val="99"/>
    <w:semiHidden/>
    <w:rsid w:val="00382AE7"/>
    <w:rPr>
      <w:rFonts w:ascii="Tahoma" w:eastAsia="Times New Roman" w:hAnsi="Tahoma" w:cs="Tahoma"/>
      <w:sz w:val="16"/>
      <w:szCs w:val="16"/>
    </w:rPr>
  </w:style>
  <w:style w:type="character" w:styleId="Hyperlink">
    <w:name w:val="Hyperlink"/>
    <w:basedOn w:val="DefaultParagraphFont"/>
    <w:uiPriority w:val="99"/>
    <w:unhideWhenUsed/>
    <w:rsid w:val="00F540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12-11.docx" TargetMode="External"/><Relationship Id="rId3" Type="http://schemas.openxmlformats.org/officeDocument/2006/relationships/settings" Target="settings.xml"/><Relationship Id="rId7" Type="http://schemas.openxmlformats.org/officeDocument/2006/relationships/hyperlink" Target="file:///h:\hj%20archive\2011\04-1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063_201104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9B137-D4C9-4AA5-99A2-2A1035B4B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1059</Words>
  <Characters>5525</Characters>
  <Application>Microsoft Office Word</Application>
  <DocSecurity>4</DocSecurity>
  <Lines>147</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4063: Forfeiture procedures for property seized - South Carolina Legislature Online</dc:title>
  <dc:subject/>
  <dc:creator>MarthaSanders</dc:creator>
  <cp:keywords/>
  <dc:description/>
  <cp:lastModifiedBy>N Cumfer</cp:lastModifiedBy>
  <cp:revision>2</cp:revision>
  <cp:lastPrinted>2011-03-31T13:01:00Z</cp:lastPrinted>
  <dcterms:created xsi:type="dcterms:W3CDTF">2014-11-24T14:06:00Z</dcterms:created>
  <dcterms:modified xsi:type="dcterms:W3CDTF">2014-11-24T14:06:00Z</dcterms:modified>
</cp:coreProperties>
</file>