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DCC" w:rsidRDefault="00021DCC" w:rsidP="00021DCC">
      <w:pPr>
        <w:widowControl w:val="0"/>
        <w:jc w:val="center"/>
      </w:pPr>
      <w:bookmarkStart w:id="0" w:name="_GoBack"/>
      <w:bookmarkEnd w:id="0"/>
      <w:r w:rsidRPr="00021DCC">
        <w:rPr>
          <w:b/>
        </w:rPr>
        <w:t>South Carolina General Assembly</w:t>
      </w:r>
    </w:p>
    <w:p w:rsidR="00021DCC" w:rsidRDefault="00021DCC" w:rsidP="00021DCC">
      <w:pPr>
        <w:widowControl w:val="0"/>
        <w:jc w:val="center"/>
      </w:pPr>
      <w:r>
        <w:t>119th Session, 2011-2012</w:t>
      </w:r>
    </w:p>
    <w:p w:rsidR="00021DCC" w:rsidRDefault="00021DCC" w:rsidP="00021DCC">
      <w:pPr>
        <w:widowControl w:val="0"/>
        <w:jc w:val="left"/>
      </w:pPr>
    </w:p>
    <w:p w:rsidR="00021DCC" w:rsidRDefault="00021DCC" w:rsidP="00021DCC">
      <w:pPr>
        <w:widowControl w:val="0"/>
        <w:jc w:val="left"/>
        <w:rPr>
          <w:b/>
        </w:rPr>
      </w:pPr>
      <w:r w:rsidRPr="00021DCC">
        <w:rPr>
          <w:b/>
        </w:rPr>
        <w:t>S.</w:t>
      </w:r>
      <w:r>
        <w:rPr>
          <w:b/>
        </w:rPr>
        <w:t xml:space="preserve"> </w:t>
      </w:r>
      <w:r w:rsidRPr="00021DCC">
        <w:rPr>
          <w:b/>
        </w:rPr>
        <w:t>698</w:t>
      </w:r>
    </w:p>
    <w:p w:rsidR="00021DCC" w:rsidRDefault="00021DCC" w:rsidP="00021DCC">
      <w:pPr>
        <w:widowControl w:val="0"/>
        <w:jc w:val="left"/>
        <w:rPr>
          <w:b/>
        </w:rPr>
      </w:pPr>
    </w:p>
    <w:p w:rsidR="00021DCC" w:rsidRDefault="00021DCC" w:rsidP="00021DCC">
      <w:pPr>
        <w:widowControl w:val="0"/>
        <w:jc w:val="left"/>
      </w:pPr>
      <w:r w:rsidRPr="00021DCC">
        <w:rPr>
          <w:b/>
        </w:rPr>
        <w:t>STATUS INFORMATION</w:t>
      </w:r>
    </w:p>
    <w:p w:rsidR="00021DCC" w:rsidRDefault="00021DCC" w:rsidP="00021DCC">
      <w:pPr>
        <w:widowControl w:val="0"/>
        <w:jc w:val="left"/>
      </w:pPr>
    </w:p>
    <w:p w:rsidR="00021DCC" w:rsidRDefault="00021DCC" w:rsidP="00021DCC">
      <w:pPr>
        <w:widowControl w:val="0"/>
        <w:jc w:val="left"/>
      </w:pPr>
      <w:r>
        <w:t>General Bill</w:t>
      </w:r>
    </w:p>
    <w:p w:rsidR="00021DCC" w:rsidRDefault="00021DCC" w:rsidP="00021DCC">
      <w:pPr>
        <w:widowControl w:val="0"/>
        <w:jc w:val="left"/>
      </w:pPr>
      <w:r>
        <w:t>Sponsors: Senator Rose</w:t>
      </w:r>
    </w:p>
    <w:p w:rsidR="00021DCC" w:rsidRDefault="00021DCC" w:rsidP="00021DCC">
      <w:pPr>
        <w:widowControl w:val="0"/>
        <w:jc w:val="left"/>
      </w:pPr>
      <w:r>
        <w:t>Document Path: l:\council\bills\nbd\11479dg11.docx</w:t>
      </w:r>
    </w:p>
    <w:p w:rsidR="00021DCC" w:rsidRDefault="00021DCC" w:rsidP="00021DCC">
      <w:pPr>
        <w:widowControl w:val="0"/>
        <w:jc w:val="left"/>
      </w:pPr>
    </w:p>
    <w:p w:rsidR="00021DCC" w:rsidRDefault="00021DCC" w:rsidP="00021DCC">
      <w:pPr>
        <w:widowControl w:val="0"/>
        <w:jc w:val="left"/>
      </w:pPr>
      <w:r>
        <w:t>Introduced in the Senate on March 16, 2011</w:t>
      </w:r>
    </w:p>
    <w:p w:rsidR="00021DCC" w:rsidRDefault="00021DCC" w:rsidP="00021DCC">
      <w:pPr>
        <w:widowControl w:val="0"/>
        <w:jc w:val="left"/>
      </w:pPr>
      <w:r>
        <w:t xml:space="preserve">Currently residing in the Senate Committee on </w:t>
      </w:r>
      <w:r w:rsidRPr="00021DCC">
        <w:rPr>
          <w:b/>
        </w:rPr>
        <w:t>Finance</w:t>
      </w:r>
    </w:p>
    <w:p w:rsidR="00021DCC" w:rsidRDefault="00021DCC" w:rsidP="00021DCC">
      <w:pPr>
        <w:widowControl w:val="0"/>
        <w:jc w:val="left"/>
      </w:pPr>
    </w:p>
    <w:p w:rsidR="00021DCC" w:rsidRDefault="00021DCC" w:rsidP="00021DCC">
      <w:pPr>
        <w:widowControl w:val="0"/>
        <w:jc w:val="left"/>
      </w:pPr>
      <w:r>
        <w:t xml:space="preserve">Summary: </w:t>
      </w:r>
      <w:r w:rsidR="00874ABA">
        <w:t>Economic research office to review each earmark and restricted subfund account</w:t>
      </w:r>
    </w:p>
    <w:p w:rsidR="00021DCC" w:rsidRDefault="00021DCC" w:rsidP="00021DCC">
      <w:pPr>
        <w:widowControl w:val="0"/>
        <w:jc w:val="left"/>
      </w:pPr>
    </w:p>
    <w:p w:rsidR="00021DCC" w:rsidRDefault="00021DCC" w:rsidP="00021DCC">
      <w:pPr>
        <w:widowControl w:val="0"/>
        <w:jc w:val="left"/>
      </w:pPr>
    </w:p>
    <w:p w:rsidR="00021DCC" w:rsidRDefault="00021DCC" w:rsidP="00021DCC">
      <w:pPr>
        <w:widowControl w:val="0"/>
        <w:tabs>
          <w:tab w:val="center" w:pos="590"/>
          <w:tab w:val="center" w:pos="1440"/>
          <w:tab w:val="left" w:pos="1872"/>
          <w:tab w:val="left" w:pos="9187"/>
        </w:tabs>
        <w:jc w:val="left"/>
      </w:pPr>
      <w:r w:rsidRPr="00021DCC">
        <w:rPr>
          <w:b/>
        </w:rPr>
        <w:t>HISTORY OF LEGISLATIVE ACTIONS</w:t>
      </w:r>
    </w:p>
    <w:p w:rsidR="00021DCC" w:rsidRDefault="00021DCC" w:rsidP="00021DCC">
      <w:pPr>
        <w:widowControl w:val="0"/>
        <w:tabs>
          <w:tab w:val="center" w:pos="590"/>
          <w:tab w:val="center" w:pos="1440"/>
          <w:tab w:val="left" w:pos="1872"/>
          <w:tab w:val="left" w:pos="9187"/>
        </w:tabs>
        <w:jc w:val="left"/>
      </w:pPr>
    </w:p>
    <w:p w:rsidR="00021DCC" w:rsidRPr="00021DCC" w:rsidRDefault="00021DCC" w:rsidP="00021DCC">
      <w:pPr>
        <w:widowControl w:val="0"/>
        <w:tabs>
          <w:tab w:val="center" w:pos="590"/>
          <w:tab w:val="center" w:pos="1440"/>
          <w:tab w:val="left" w:pos="1872"/>
          <w:tab w:val="left" w:pos="9187"/>
        </w:tabs>
        <w:jc w:val="left"/>
      </w:pPr>
      <w:r w:rsidRPr="00021DCC">
        <w:rPr>
          <w:u w:val="single"/>
        </w:rPr>
        <w:tab/>
        <w:t>Date</w:t>
      </w:r>
      <w:r w:rsidRPr="00021DCC">
        <w:rPr>
          <w:u w:val="single"/>
        </w:rPr>
        <w:tab/>
        <w:t>Body</w:t>
      </w:r>
      <w:r w:rsidRPr="00021DCC">
        <w:rPr>
          <w:u w:val="single"/>
        </w:rPr>
        <w:tab/>
        <w:t>Action Description with journal page number</w:t>
      </w:r>
      <w:r w:rsidRPr="00021DCC">
        <w:rPr>
          <w:u w:val="single"/>
        </w:rPr>
        <w:tab/>
      </w:r>
    </w:p>
    <w:p w:rsidR="00D62B26" w:rsidRDefault="00D62B26" w:rsidP="00D62B26">
      <w:pPr>
        <w:widowControl w:val="0"/>
        <w:tabs>
          <w:tab w:val="right" w:pos="1008"/>
          <w:tab w:val="left" w:pos="1152"/>
          <w:tab w:val="left" w:pos="1872"/>
          <w:tab w:val="left" w:pos="9187"/>
        </w:tabs>
        <w:ind w:left="2088" w:hanging="2088"/>
        <w:jc w:val="left"/>
      </w:pPr>
      <w:r>
        <w:tab/>
        <w:t>3/16/2011</w:t>
      </w:r>
      <w:r>
        <w:tab/>
        <w:t>Senate</w:t>
      </w:r>
      <w:r>
        <w:tab/>
      </w:r>
      <w:r w:rsidRPr="00BD0037">
        <w:t>Introduced and read first time (</w:t>
      </w:r>
      <w:hyperlink r:id="rId7" w:history="1">
        <w:r w:rsidRPr="00BD0037">
          <w:rPr>
            <w:rStyle w:val="Hyperlink"/>
          </w:rPr>
          <w:t>Senate Journal</w:t>
        </w:r>
        <w:r w:rsidRPr="00BD0037">
          <w:rPr>
            <w:rStyle w:val="Hyperlink"/>
          </w:rPr>
          <w:noBreakHyphen/>
          <w:t>page 13</w:t>
        </w:r>
      </w:hyperlink>
      <w:r w:rsidRPr="00BD0037">
        <w:t>)</w:t>
      </w:r>
    </w:p>
    <w:p w:rsidR="00D62B26" w:rsidRDefault="00D62B26" w:rsidP="00D62B26">
      <w:pPr>
        <w:widowControl w:val="0"/>
        <w:tabs>
          <w:tab w:val="right" w:pos="1008"/>
          <w:tab w:val="left" w:pos="1152"/>
          <w:tab w:val="left" w:pos="1872"/>
          <w:tab w:val="left" w:pos="9187"/>
        </w:tabs>
        <w:ind w:left="2088" w:hanging="2088"/>
        <w:jc w:val="left"/>
      </w:pPr>
      <w:r>
        <w:tab/>
        <w:t>3/16/2011</w:t>
      </w:r>
      <w:r>
        <w:tab/>
        <w:t>Senate</w:t>
      </w:r>
      <w:r>
        <w:tab/>
      </w:r>
      <w:r w:rsidRPr="00BD0037">
        <w:t>R</w:t>
      </w:r>
      <w:r>
        <w:t xml:space="preserve">eferred to Committee on </w:t>
      </w:r>
      <w:r w:rsidRPr="00BD0037">
        <w:rPr>
          <w:b/>
        </w:rPr>
        <w:t>Finance</w:t>
      </w:r>
      <w:r>
        <w:t xml:space="preserve"> </w:t>
      </w:r>
      <w:r w:rsidRPr="00BD0037">
        <w:t>(</w:t>
      </w:r>
      <w:hyperlink r:id="rId8" w:history="1">
        <w:r w:rsidRPr="00BD0037">
          <w:rPr>
            <w:rStyle w:val="Hyperlink"/>
          </w:rPr>
          <w:t>Senate Journal</w:t>
        </w:r>
        <w:r w:rsidRPr="00BD0037">
          <w:rPr>
            <w:rStyle w:val="Hyperlink"/>
          </w:rPr>
          <w:noBreakHyphen/>
          <w:t>page 13</w:t>
        </w:r>
      </w:hyperlink>
      <w:r w:rsidRPr="00BD0037">
        <w:t>)</w:t>
      </w:r>
    </w:p>
    <w:p w:rsidR="00D62B26" w:rsidRDefault="00D62B26" w:rsidP="00D62B26">
      <w:pPr>
        <w:widowControl w:val="0"/>
        <w:tabs>
          <w:tab w:val="right" w:pos="1008"/>
          <w:tab w:val="left" w:pos="1152"/>
          <w:tab w:val="left" w:pos="1872"/>
          <w:tab w:val="left" w:pos="9187"/>
        </w:tabs>
        <w:ind w:left="2088" w:hanging="2088"/>
        <w:jc w:val="left"/>
      </w:pPr>
    </w:p>
    <w:p w:rsidR="00021DCC" w:rsidRPr="00021DCC" w:rsidRDefault="00021DCC" w:rsidP="00021DCC">
      <w:pPr>
        <w:widowControl w:val="0"/>
        <w:tabs>
          <w:tab w:val="right" w:pos="1008"/>
          <w:tab w:val="left" w:pos="1152"/>
          <w:tab w:val="left" w:pos="1872"/>
          <w:tab w:val="left" w:pos="9187"/>
        </w:tabs>
        <w:ind w:left="2088" w:hanging="2088"/>
        <w:jc w:val="left"/>
      </w:pPr>
    </w:p>
    <w:p w:rsidR="00021DCC" w:rsidRDefault="00021DCC" w:rsidP="00021DCC">
      <w:pPr>
        <w:widowControl w:val="0"/>
        <w:jc w:val="left"/>
      </w:pPr>
      <w:r w:rsidRPr="00021DCC">
        <w:rPr>
          <w:b/>
        </w:rPr>
        <w:t>VERSIONS OF THIS BILL</w:t>
      </w:r>
    </w:p>
    <w:p w:rsidR="00021DCC" w:rsidRDefault="00021DCC" w:rsidP="00021DCC">
      <w:pPr>
        <w:widowControl w:val="0"/>
        <w:jc w:val="left"/>
      </w:pPr>
    </w:p>
    <w:p w:rsidR="00021DCC" w:rsidRDefault="00992B94" w:rsidP="00021DCC">
      <w:pPr>
        <w:widowControl w:val="0"/>
        <w:jc w:val="left"/>
      </w:pPr>
      <w:hyperlink r:id="rId9" w:history="1">
        <w:r w:rsidR="00021DCC">
          <w:rPr>
            <w:rStyle w:val="Hyperlink"/>
          </w:rPr>
          <w:t>3/16/2011</w:t>
        </w:r>
      </w:hyperlink>
    </w:p>
    <w:p w:rsidR="00021DCC" w:rsidRDefault="00021DCC" w:rsidP="00021DCC"/>
    <w:p w:rsidR="00021DCC" w:rsidRDefault="00021DCC" w:rsidP="00021DCC">
      <w:pPr>
        <w:sectPr w:rsidR="00021DCC" w:rsidSect="00021DC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2E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3C07" w:rsidP="0013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11</w:t>
      </w:r>
      <w:r w:rsidR="00EC6790">
        <w:noBreakHyphen/>
      </w:r>
      <w:r>
        <w:t>11</w:t>
      </w:r>
      <w:r w:rsidR="00EC6790">
        <w:noBreakHyphen/>
      </w:r>
      <w:r>
        <w:t xml:space="preserve">245 SO AS TO REQUIRE THE OFFICE OF ECONOMIC RESEARCH TO REVIEW EACH EARMARK AND RESTRICTED SUBFUND ACCOUNT, TO PROVIDE FOR THE SCOPE OF THE REVIEW, AND TO REQUIRE </w:t>
      </w:r>
      <w:r w:rsidRPr="00046390">
        <w:t xml:space="preserve">EACH STATE AGENCY </w:t>
      </w:r>
      <w:r w:rsidR="00DA68A3">
        <w:t>TO</w:t>
      </w:r>
      <w:r w:rsidRPr="00046390">
        <w:t xml:space="preserve"> REMIT TO THE GENERAL FUND OF THIS STATE </w:t>
      </w:r>
      <w:r>
        <w:t xml:space="preserve">THE BALANCE OF EACH EARMARKED AND SUBFUND </w:t>
      </w:r>
      <w:r w:rsidRPr="00046390">
        <w:t>CARRY</w:t>
      </w:r>
      <w:r w:rsidR="00EC6790">
        <w:noBreakHyphen/>
      </w:r>
      <w:r w:rsidRPr="00046390">
        <w:t xml:space="preserve">FORWARD </w:t>
      </w:r>
      <w:r>
        <w:t xml:space="preserve">ACCOUNT </w:t>
      </w:r>
      <w:r w:rsidRPr="00046390">
        <w:t>IN EXCESS OF TWENTY FIVE PERCENT OF THE PREVIOUS YEAR</w:t>
      </w:r>
      <w:r w:rsidR="00EC6790" w:rsidRPr="00EC6790">
        <w:t>’</w:t>
      </w:r>
      <w:r w:rsidRPr="00046390">
        <w:t>S EXPENDITURES FROM EACH SUBFUND ACCOUNT.</w:t>
      </w:r>
    </w:p>
    <w:p w:rsidR="00C92EA1" w:rsidRDefault="00C92E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2EA1" w:rsidRDefault="00C92E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2EA1" w:rsidRDefault="00C92E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4E7" w:rsidRPr="00077F5F" w:rsidRDefault="00C92EA1"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9254E7">
        <w:rPr>
          <w:color w:val="000000" w:themeColor="text1"/>
          <w:u w:color="000000" w:themeColor="text1"/>
        </w:rPr>
        <w:tab/>
      </w:r>
      <w:r w:rsidR="009254E7" w:rsidRPr="00077F5F">
        <w:rPr>
          <w:color w:val="000000" w:themeColor="text1"/>
          <w:u w:color="000000" w:themeColor="text1"/>
        </w:rPr>
        <w:t>Article 1, Chapter 11, Title 11 of the 1976 Code is amended by adding:</w:t>
      </w:r>
    </w:p>
    <w:p w:rsidR="009254E7" w:rsidRPr="00077F5F"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4E7" w:rsidRPr="00077F5F"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F5F">
        <w:rPr>
          <w:color w:val="000000" w:themeColor="text1"/>
          <w:u w:color="000000" w:themeColor="text1"/>
        </w:rPr>
        <w:t>“Section 11</w:t>
      </w:r>
      <w:r w:rsidR="00EC6790">
        <w:rPr>
          <w:color w:val="000000" w:themeColor="text1"/>
          <w:u w:color="000000" w:themeColor="text1"/>
        </w:rPr>
        <w:noBreakHyphen/>
      </w:r>
      <w:r w:rsidRPr="00077F5F">
        <w:rPr>
          <w:color w:val="000000" w:themeColor="text1"/>
          <w:u w:color="000000" w:themeColor="text1"/>
        </w:rPr>
        <w:t>11</w:t>
      </w:r>
      <w:r w:rsidR="00EC6790">
        <w:rPr>
          <w:color w:val="000000" w:themeColor="text1"/>
          <w:u w:color="000000" w:themeColor="text1"/>
        </w:rPr>
        <w:noBreakHyphen/>
      </w:r>
      <w:r>
        <w:rPr>
          <w:color w:val="000000" w:themeColor="text1"/>
          <w:u w:color="000000" w:themeColor="text1"/>
        </w:rPr>
        <w:t>245.</w:t>
      </w:r>
      <w:r>
        <w:rPr>
          <w:color w:val="000000" w:themeColor="text1"/>
          <w:u w:color="000000" w:themeColor="text1"/>
        </w:rPr>
        <w:tab/>
        <w:t xml:space="preserve"> (A)</w:t>
      </w:r>
      <w:r>
        <w:rPr>
          <w:color w:val="000000" w:themeColor="text1"/>
          <w:u w:color="000000" w:themeColor="text1"/>
        </w:rPr>
        <w:tab/>
      </w:r>
      <w:r w:rsidRPr="00077F5F">
        <w:rPr>
          <w:color w:val="000000" w:themeColor="text1"/>
          <w:u w:color="000000" w:themeColor="text1"/>
        </w:rPr>
        <w:t>The Budget and Control Board, Office of State Budget, annually shall review each earmarked and restricted subfund account of each state agency.  The review must determine:</w:t>
      </w:r>
    </w:p>
    <w:p w:rsidR="009254E7" w:rsidRPr="00077F5F"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F5F">
        <w:rPr>
          <w:color w:val="000000" w:themeColor="text1"/>
          <w:u w:color="000000" w:themeColor="text1"/>
        </w:rPr>
        <w:t>(1)</w:t>
      </w:r>
      <w:r>
        <w:rPr>
          <w:color w:val="000000" w:themeColor="text1"/>
          <w:u w:color="000000" w:themeColor="text1"/>
        </w:rPr>
        <w:tab/>
      </w:r>
      <w:r w:rsidRPr="00077F5F">
        <w:rPr>
          <w:color w:val="000000" w:themeColor="text1"/>
          <w:u w:color="000000" w:themeColor="text1"/>
        </w:rPr>
        <w:t>the year</w:t>
      </w:r>
      <w:r w:rsidR="00EC6790">
        <w:rPr>
          <w:color w:val="000000" w:themeColor="text1"/>
          <w:u w:color="000000" w:themeColor="text1"/>
        </w:rPr>
        <w:noBreakHyphen/>
      </w:r>
      <w:r w:rsidRPr="00077F5F">
        <w:rPr>
          <w:color w:val="000000" w:themeColor="text1"/>
          <w:u w:color="000000" w:themeColor="text1"/>
        </w:rPr>
        <w:t>end account balances for the previous five fiscal years;</w:t>
      </w:r>
    </w:p>
    <w:p w:rsidR="009254E7" w:rsidRPr="00077F5F"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F5F">
        <w:rPr>
          <w:color w:val="000000" w:themeColor="text1"/>
          <w:u w:color="000000" w:themeColor="text1"/>
        </w:rPr>
        <w:t>(2)</w:t>
      </w:r>
      <w:r>
        <w:rPr>
          <w:color w:val="000000" w:themeColor="text1"/>
          <w:u w:color="000000" w:themeColor="text1"/>
        </w:rPr>
        <w:tab/>
      </w:r>
      <w:r w:rsidRPr="00077F5F">
        <w:rPr>
          <w:color w:val="000000" w:themeColor="text1"/>
          <w:u w:color="000000" w:themeColor="text1"/>
        </w:rPr>
        <w:t xml:space="preserve">the sources of funding of each subfund account; </w:t>
      </w:r>
    </w:p>
    <w:p w:rsidR="009254E7" w:rsidRPr="00077F5F"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F5F">
        <w:rPr>
          <w:color w:val="000000" w:themeColor="text1"/>
          <w:u w:color="000000" w:themeColor="text1"/>
        </w:rPr>
        <w:t>(3)</w:t>
      </w:r>
      <w:r>
        <w:rPr>
          <w:color w:val="000000" w:themeColor="text1"/>
          <w:u w:color="000000" w:themeColor="text1"/>
        </w:rPr>
        <w:tab/>
      </w:r>
      <w:r w:rsidRPr="00077F5F">
        <w:rPr>
          <w:color w:val="000000" w:themeColor="text1"/>
          <w:u w:color="000000" w:themeColor="text1"/>
        </w:rPr>
        <w:t>the authorization of each source of funding;</w:t>
      </w:r>
    </w:p>
    <w:p w:rsidR="009254E7" w:rsidRPr="00077F5F"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F5F">
        <w:rPr>
          <w:color w:val="000000" w:themeColor="text1"/>
          <w:u w:color="000000" w:themeColor="text1"/>
        </w:rPr>
        <w:t>(4)</w:t>
      </w:r>
      <w:r>
        <w:rPr>
          <w:color w:val="000000" w:themeColor="text1"/>
          <w:u w:color="000000" w:themeColor="text1"/>
        </w:rPr>
        <w:tab/>
      </w:r>
      <w:r w:rsidRPr="00077F5F">
        <w:rPr>
          <w:color w:val="000000" w:themeColor="text1"/>
          <w:u w:color="000000" w:themeColor="text1"/>
        </w:rPr>
        <w:t>allowable expenditures pursuant to the authorization of the sources of funding;</w:t>
      </w:r>
    </w:p>
    <w:p w:rsidR="009254E7" w:rsidRPr="00077F5F"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077F5F">
        <w:rPr>
          <w:color w:val="000000" w:themeColor="text1"/>
          <w:u w:color="000000" w:themeColor="text1"/>
        </w:rPr>
        <w:t>(5)</w:t>
      </w:r>
      <w:r>
        <w:rPr>
          <w:color w:val="000000" w:themeColor="text1"/>
          <w:u w:color="000000" w:themeColor="text1"/>
        </w:rPr>
        <w:tab/>
      </w:r>
      <w:r w:rsidRPr="00077F5F">
        <w:rPr>
          <w:color w:val="000000" w:themeColor="text1"/>
          <w:u w:color="000000" w:themeColor="text1"/>
        </w:rPr>
        <w:t>whether expenditures from the accounts are consistent with the purposes set forth in the authorization; and</w:t>
      </w:r>
    </w:p>
    <w:p w:rsidR="009254E7" w:rsidRPr="00077F5F"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F5F">
        <w:rPr>
          <w:color w:val="000000" w:themeColor="text1"/>
          <w:u w:color="000000" w:themeColor="text1"/>
        </w:rPr>
        <w:t>(6)</w:t>
      </w:r>
      <w:r>
        <w:rPr>
          <w:color w:val="000000" w:themeColor="text1"/>
          <w:u w:color="000000" w:themeColor="text1"/>
        </w:rPr>
        <w:tab/>
      </w:r>
      <w:r w:rsidRPr="00077F5F">
        <w:rPr>
          <w:color w:val="000000" w:themeColor="text1"/>
          <w:u w:color="000000" w:themeColor="text1"/>
        </w:rPr>
        <w:t>the history, and any amendments, to the authorization.</w:t>
      </w:r>
    </w:p>
    <w:p w:rsidR="009254E7" w:rsidRPr="00077F5F"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F5F">
        <w:rPr>
          <w:color w:val="000000" w:themeColor="text1"/>
          <w:u w:color="000000" w:themeColor="text1"/>
        </w:rPr>
        <w:t>(B)</w:t>
      </w:r>
      <w:r>
        <w:rPr>
          <w:color w:val="000000" w:themeColor="text1"/>
          <w:u w:color="000000" w:themeColor="text1"/>
        </w:rPr>
        <w:tab/>
      </w:r>
      <w:r w:rsidRPr="00077F5F">
        <w:rPr>
          <w:color w:val="000000" w:themeColor="text1"/>
          <w:u w:color="000000" w:themeColor="text1"/>
        </w:rPr>
        <w:t>The Office of State Budget shall submit a report to the General Assembly detailing the findings of its review by February first of each year.  The House Ways and Means Committee and the Senate Finance Committee shall review the report to determine if excess funds have accumulated in the subfund accounts before reporting on the annual appropriations bill.</w:t>
      </w:r>
    </w:p>
    <w:p w:rsidR="009254E7"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077F5F">
        <w:rPr>
          <w:color w:val="000000" w:themeColor="text1"/>
          <w:u w:color="000000" w:themeColor="text1"/>
        </w:rPr>
        <w:t>(C)</w:t>
      </w:r>
      <w:r>
        <w:rPr>
          <w:color w:val="000000" w:themeColor="text1"/>
          <w:u w:color="000000" w:themeColor="text1"/>
        </w:rPr>
        <w:tab/>
      </w:r>
      <w:r w:rsidR="006A3C07" w:rsidRPr="00046390">
        <w:t xml:space="preserve">Notwithstanding any other provision of law, and subject to action by the General Assembly, beginning </w:t>
      </w:r>
      <w:r w:rsidR="006A3C07">
        <w:t>July 1, 2011, and every</w:t>
      </w:r>
      <w:r w:rsidR="006A3C07" w:rsidRPr="00046390">
        <w:t xml:space="preserve"> </w:t>
      </w:r>
      <w:r w:rsidR="006A3C07">
        <w:t>July first</w:t>
      </w:r>
      <w:r w:rsidR="006A3C07" w:rsidRPr="00046390">
        <w:t xml:space="preserve"> thereafter, each state agency must remit to the general fund of this State </w:t>
      </w:r>
      <w:r w:rsidR="006A3C07">
        <w:t xml:space="preserve">the balance of each earmarked and subfund </w:t>
      </w:r>
      <w:r w:rsidR="006A3C07" w:rsidRPr="00046390">
        <w:t>carry</w:t>
      </w:r>
      <w:r w:rsidR="00EC6790">
        <w:noBreakHyphen/>
      </w:r>
      <w:r w:rsidR="006A3C07" w:rsidRPr="00046390">
        <w:t xml:space="preserve">forward </w:t>
      </w:r>
      <w:r w:rsidR="006A3C07">
        <w:t xml:space="preserve">account </w:t>
      </w:r>
      <w:r w:rsidR="006A3C07" w:rsidRPr="00046390">
        <w:t>in excess of twenty five percent of the previous year</w:t>
      </w:r>
      <w:r w:rsidR="00EC6790" w:rsidRPr="00EC6790">
        <w:t>’</w:t>
      </w:r>
      <w:r w:rsidR="006A3C07" w:rsidRPr="00046390">
        <w:t>s expenditures from each subfund account.</w:t>
      </w:r>
      <w:r>
        <w:rPr>
          <w:color w:val="000000" w:themeColor="text1"/>
          <w:u w:color="000000" w:themeColor="text1"/>
        </w:rPr>
        <w:t>”</w:t>
      </w:r>
    </w:p>
    <w:p w:rsidR="009254E7"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sidR="00C92EA1">
        <w:t>.</w:t>
      </w:r>
      <w:r w:rsidR="00C92EA1">
        <w:tab/>
        <w:t>This act takes effect upon approval by the Governor.</w:t>
      </w:r>
    </w:p>
    <w:p w:rsidR="001359A7" w:rsidRDefault="00EC67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59A7" w:rsidRDefault="001359A7" w:rsidP="00021DCC">
      <w:pPr>
        <w:suppressAutoHyphens/>
      </w:pPr>
    </w:p>
    <w:sectPr w:rsidR="001359A7" w:rsidSect="00021DC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EA1" w:rsidRDefault="00C92EA1" w:rsidP="009F0C77">
      <w:r>
        <w:separator/>
      </w:r>
    </w:p>
  </w:endnote>
  <w:endnote w:type="continuationSeparator" w:id="0">
    <w:p w:rsidR="00C92EA1" w:rsidRDefault="00C92E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5A3A57-0034-4BDD-B63E-8CB77DA938D0}"/>
    <w:embedBold r:id="rId2" w:fontKey="{BCC6E270-36A8-4139-A7C3-AF7D44BD0558}"/>
  </w:font>
  <w:font w:name="Calibri">
    <w:panose1 w:val="020F0502020204030204"/>
    <w:charset w:val="00"/>
    <w:family w:val="swiss"/>
    <w:pitch w:val="variable"/>
    <w:sig w:usb0="E10002FF" w:usb1="4000ACFF" w:usb2="00000009" w:usb3="00000000" w:csb0="0000019F" w:csb1="00000000"/>
    <w:embedRegular r:id="rId3" w:fontKey="{DFFA6DD0-6A36-45C1-BBDB-00E3DEE239AE}"/>
  </w:font>
  <w:font w:name="Cambria">
    <w:panose1 w:val="02040503050406030204"/>
    <w:charset w:val="00"/>
    <w:family w:val="roman"/>
    <w:pitch w:val="variable"/>
    <w:sig w:usb0="E00002FF" w:usb1="400004FF" w:usb2="00000000" w:usb3="00000000" w:csb0="0000019F" w:csb1="00000000"/>
    <w:embedRegular r:id="rId4" w:fontKey="{7CAD47BD-DC68-4293-88C0-445E1D6E3B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DCC" w:rsidRPr="001359A7" w:rsidRDefault="00021DCC" w:rsidP="001359A7">
    <w:pPr>
      <w:pStyle w:val="Footer"/>
      <w:tabs>
        <w:tab w:val="clear" w:pos="4680"/>
        <w:tab w:val="clear" w:pos="9360"/>
        <w:tab w:val="center" w:pos="2995"/>
      </w:tabs>
      <w:spacing w:before="120"/>
    </w:pPr>
    <w:r>
      <w:t>[698]</w:t>
    </w:r>
    <w:r>
      <w:tab/>
    </w:r>
    <w:r w:rsidR="00992B94">
      <w:fldChar w:fldCharType="begin"/>
    </w:r>
    <w:r w:rsidR="00992B94">
      <w:instrText xml:space="preserve"> PAGE  \* MERGEFORMAT </w:instrText>
    </w:r>
    <w:r w:rsidR="00992B94">
      <w:fldChar w:fldCharType="separate"/>
    </w:r>
    <w:r w:rsidR="00992B94">
      <w:rPr>
        <w:noProof/>
      </w:rPr>
      <w:t>1</w:t>
    </w:r>
    <w:r w:rsidR="00992B9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EA1" w:rsidRDefault="00C92EA1" w:rsidP="009F0C77">
      <w:r>
        <w:separator/>
      </w:r>
    </w:p>
  </w:footnote>
  <w:footnote w:type="continuationSeparator" w:id="0">
    <w:p w:rsidR="00C92EA1" w:rsidRDefault="00C92E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79DG11"/>
    <w:docVar w:name="CoverBillType" w:val="b"/>
    <w:docVar w:name="docpath" w:val="L:\Council\bills\NBD\11479DG11.DOCX"/>
    <w:docVar w:name="dvBillNumber" w:val="698"/>
    <w:docVar w:name="dvBillNumberPrefix" w:val="S. "/>
    <w:docVar w:name="dvOriginalBody" w:val="Senate"/>
    <w:docVar w:name="dvSteno" w:val="NBD"/>
    <w:docVar w:name="NameofBody" w:val="s"/>
    <w:docVar w:name="vgroup2" w:val="Council"/>
  </w:docVars>
  <w:rsids>
    <w:rsidRoot w:val="008E4AC6"/>
    <w:rsid w:val="0002152D"/>
    <w:rsid w:val="00021DCC"/>
    <w:rsid w:val="00026C9A"/>
    <w:rsid w:val="0009247E"/>
    <w:rsid w:val="000965A1"/>
    <w:rsid w:val="000E1785"/>
    <w:rsid w:val="001023A4"/>
    <w:rsid w:val="0010776B"/>
    <w:rsid w:val="00133E66"/>
    <w:rsid w:val="00134ACF"/>
    <w:rsid w:val="001359A7"/>
    <w:rsid w:val="00144E15"/>
    <w:rsid w:val="001A3A7E"/>
    <w:rsid w:val="001A4A62"/>
    <w:rsid w:val="001A681E"/>
    <w:rsid w:val="001B609A"/>
    <w:rsid w:val="001D08F2"/>
    <w:rsid w:val="002037CA"/>
    <w:rsid w:val="002047A2"/>
    <w:rsid w:val="002321B6"/>
    <w:rsid w:val="0023696B"/>
    <w:rsid w:val="00250967"/>
    <w:rsid w:val="00271AB8"/>
    <w:rsid w:val="002759C5"/>
    <w:rsid w:val="00277DEE"/>
    <w:rsid w:val="00280D88"/>
    <w:rsid w:val="00294ABE"/>
    <w:rsid w:val="002A3EB4"/>
    <w:rsid w:val="002C7C6B"/>
    <w:rsid w:val="00310671"/>
    <w:rsid w:val="00325348"/>
    <w:rsid w:val="00335BF2"/>
    <w:rsid w:val="00393688"/>
    <w:rsid w:val="003C73BA"/>
    <w:rsid w:val="003D411E"/>
    <w:rsid w:val="003E3C1E"/>
    <w:rsid w:val="003E6148"/>
    <w:rsid w:val="003F66EE"/>
    <w:rsid w:val="00400EAA"/>
    <w:rsid w:val="0041760A"/>
    <w:rsid w:val="0047090B"/>
    <w:rsid w:val="004809EE"/>
    <w:rsid w:val="00511EE9"/>
    <w:rsid w:val="00521E00"/>
    <w:rsid w:val="00577C6C"/>
    <w:rsid w:val="0058501B"/>
    <w:rsid w:val="005D130A"/>
    <w:rsid w:val="006215AA"/>
    <w:rsid w:val="006340D9"/>
    <w:rsid w:val="00643B8E"/>
    <w:rsid w:val="00665EBC"/>
    <w:rsid w:val="0069470D"/>
    <w:rsid w:val="006A3C07"/>
    <w:rsid w:val="006A476C"/>
    <w:rsid w:val="006C6A93"/>
    <w:rsid w:val="006E02F9"/>
    <w:rsid w:val="00753C04"/>
    <w:rsid w:val="00756946"/>
    <w:rsid w:val="00757F80"/>
    <w:rsid w:val="00766BAB"/>
    <w:rsid w:val="00771EEC"/>
    <w:rsid w:val="00786819"/>
    <w:rsid w:val="007A325A"/>
    <w:rsid w:val="007C1027"/>
    <w:rsid w:val="007F1523"/>
    <w:rsid w:val="007F509E"/>
    <w:rsid w:val="007F5799"/>
    <w:rsid w:val="007F6947"/>
    <w:rsid w:val="00833299"/>
    <w:rsid w:val="00872729"/>
    <w:rsid w:val="00874ABA"/>
    <w:rsid w:val="00892296"/>
    <w:rsid w:val="008A588C"/>
    <w:rsid w:val="008E4AC6"/>
    <w:rsid w:val="008F4429"/>
    <w:rsid w:val="009254E7"/>
    <w:rsid w:val="009352BB"/>
    <w:rsid w:val="00990668"/>
    <w:rsid w:val="00992B94"/>
    <w:rsid w:val="009F0C77"/>
    <w:rsid w:val="009F4DD1"/>
    <w:rsid w:val="00A64E80"/>
    <w:rsid w:val="00A741D9"/>
    <w:rsid w:val="00A9741D"/>
    <w:rsid w:val="00AB3AE7"/>
    <w:rsid w:val="00AD4B17"/>
    <w:rsid w:val="00B26FA6"/>
    <w:rsid w:val="00B741CB"/>
    <w:rsid w:val="00B934F3"/>
    <w:rsid w:val="00BB6347"/>
    <w:rsid w:val="00BD2134"/>
    <w:rsid w:val="00C038D8"/>
    <w:rsid w:val="00C045DD"/>
    <w:rsid w:val="00C10E18"/>
    <w:rsid w:val="00C3136F"/>
    <w:rsid w:val="00C3483A"/>
    <w:rsid w:val="00C74E9D"/>
    <w:rsid w:val="00C82FD3"/>
    <w:rsid w:val="00C92EA1"/>
    <w:rsid w:val="00CC6B7B"/>
    <w:rsid w:val="00CD3619"/>
    <w:rsid w:val="00CF4447"/>
    <w:rsid w:val="00D405E7"/>
    <w:rsid w:val="00D41D56"/>
    <w:rsid w:val="00D6260D"/>
    <w:rsid w:val="00D62B26"/>
    <w:rsid w:val="00D6662B"/>
    <w:rsid w:val="00D95E2F"/>
    <w:rsid w:val="00D970A9"/>
    <w:rsid w:val="00DA68A3"/>
    <w:rsid w:val="00DB3AC0"/>
    <w:rsid w:val="00DC5A4A"/>
    <w:rsid w:val="00DE68F0"/>
    <w:rsid w:val="00DF3845"/>
    <w:rsid w:val="00DF7E17"/>
    <w:rsid w:val="00EB00A2"/>
    <w:rsid w:val="00EB1BF3"/>
    <w:rsid w:val="00EC6790"/>
    <w:rsid w:val="00EF3EEE"/>
    <w:rsid w:val="00F0721C"/>
    <w:rsid w:val="00F149A7"/>
    <w:rsid w:val="00F338E9"/>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6D8B8E-ACA7-4A3A-9A91-41B32C9D3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21D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16-11.docx" TargetMode="External"/><Relationship Id="rId3" Type="http://schemas.openxmlformats.org/officeDocument/2006/relationships/settings" Target="settings.xml"/><Relationship Id="rId7" Type="http://schemas.openxmlformats.org/officeDocument/2006/relationships/hyperlink" Target="file:///h:\sj%20archive\2011\03-1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98_2011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42EDB-C2A9-4CF3-903C-199730E4F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420</Words>
  <Characters>2251</Characters>
  <Application>Microsoft Office Word</Application>
  <DocSecurity>4</DocSecurity>
  <Lines>85</Lines>
  <Paragraphs>31</Paragraphs>
  <ScaleCrop>false</ScaleCrop>
  <Company> </Company>
  <LinksUpToDate>false</LinksUpToDate>
  <CharactersWithSpaces>2661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698: Economic research office to review each earmark and restricted subfund account - South Carolina Legislature Online</dc:title>
  <dc:subject/>
  <dc:creator>NikiDowney</dc:creator>
  <cp:keywords/>
  <dc:description/>
  <cp:lastModifiedBy>N Cumfer</cp:lastModifiedBy>
  <cp:revision>2</cp:revision>
  <dcterms:created xsi:type="dcterms:W3CDTF">2014-11-21T20:51:00Z</dcterms:created>
  <dcterms:modified xsi:type="dcterms:W3CDTF">2014-11-21T20:51:00Z</dcterms:modified>
</cp:coreProperties>
</file>