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0F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0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 RELATING TO GENERAL PROVISIONS CONCERNING TAXATION AND THE DEPARTMENT OF REVENUE, BY ADDING SECTION 12</w:t>
      </w:r>
      <w:r w:rsidR="009C000A">
        <w:rPr>
          <w:rFonts w:eastAsia="Times New Roman"/>
        </w:rPr>
        <w:noBreakHyphen/>
      </w:r>
      <w:r>
        <w:rPr>
          <w:rFonts w:eastAsia="Times New Roman"/>
        </w:rPr>
        <w:t>2</w:t>
      </w:r>
      <w:r w:rsidR="009C000A">
        <w:rPr>
          <w:rFonts w:eastAsia="Times New Roman"/>
        </w:rPr>
        <w:noBreakHyphen/>
      </w:r>
      <w:r>
        <w:rPr>
          <w:rFonts w:eastAsia="Times New Roman"/>
        </w:rPr>
        <w:t xml:space="preserve">110, TO PROVIDE THAT THE DEPARTMENT MUST DEVELOP A CHART TO REFLECT THE PROPORTION OF APPROPRIATIONS FOR CERTAIN </w:t>
      </w:r>
      <w:r w:rsidR="00CD7A9C">
        <w:rPr>
          <w:rFonts w:eastAsia="Times New Roman"/>
        </w:rPr>
        <w:t>APPROPRIATIONS</w:t>
      </w:r>
      <w:r>
        <w:rPr>
          <w:rFonts w:eastAsia="Times New Roman"/>
        </w:rPr>
        <w:t xml:space="preserve"> CATEGORIES TO TOTAL STATE APPROPRIATIONS AND TO DEVELOP A CHART TO REFLECT THE PROPORTION OF </w:t>
      </w:r>
      <w:r w:rsidR="00CD7A9C">
        <w:rPr>
          <w:rFonts w:eastAsia="Times New Roman"/>
        </w:rPr>
        <w:t xml:space="preserve">CATEGORIZED </w:t>
      </w:r>
      <w:r>
        <w:rPr>
          <w:rFonts w:eastAsia="Times New Roman"/>
        </w:rPr>
        <w:t xml:space="preserve">REVENUE SOURCES TO THE TOTAL REVENUE USED IN THE ANNUAL APPROPRIATIONS ACT, </w:t>
      </w:r>
      <w:r w:rsidR="0050551F">
        <w:rPr>
          <w:rFonts w:eastAsia="Times New Roman"/>
        </w:rPr>
        <w:t xml:space="preserve">AND </w:t>
      </w:r>
      <w:r>
        <w:rPr>
          <w:rFonts w:eastAsia="Times New Roman"/>
        </w:rPr>
        <w:t>TO PROVIDE THAT THE CHARTS MUST BE DISPLAYED ON INCOME TAX FORMS, INCOME TAX FORM INSTRUCTION BOOKLETS, AND IN CONFIRMATION E</w:t>
      </w:r>
      <w:r w:rsidR="009C000A">
        <w:rPr>
          <w:rFonts w:eastAsia="Times New Roman"/>
        </w:rPr>
        <w:noBreakHyphen/>
      </w:r>
      <w:r>
        <w:rPr>
          <w:rFonts w:eastAsia="Times New Roman"/>
        </w:rPr>
        <w:t xml:space="preserve">MAILS FOR INCOME TAX RETURNS FILED ELECTRONICALLY; AND TO AMEND </w:t>
      </w:r>
      <w:r>
        <w:t>CHAPTER 54, TITLE 12, RELATING TO THE UNIFORM METHOD OF COLLECTION AND ENFORCEMENT OF TAXES LEVIED AND ASSESSED BY THE SOUTH CAROLINA DEPARTMENT OF REVENUE, BY ADDING SECTION 12</w:t>
      </w:r>
      <w:r w:rsidR="009C000A">
        <w:noBreakHyphen/>
      </w:r>
      <w:r>
        <w:t>54</w:t>
      </w:r>
      <w:r w:rsidR="009C000A">
        <w:noBreakHyphen/>
      </w:r>
      <w:r>
        <w:t>255, TO REQUIRE THAT THE DEPARTMENT OF REVENUE SEND A CONFIRMATION E</w:t>
      </w:r>
      <w:r w:rsidR="009C000A">
        <w:noBreakHyphen/>
      </w:r>
      <w:r>
        <w:t>MAIL FOR ALL INCOME TAX RETURNS FILED ELECTRONICALLY, AND TO REQUIRE THAT THE CONFIRMATION E</w:t>
      </w:r>
      <w:r w:rsidR="009C000A">
        <w:noBreakHyphen/>
      </w:r>
      <w:r>
        <w:t>MAIL CONTAIN THE CHARTS REQUIRED BY SECTION 12</w:t>
      </w:r>
      <w:r w:rsidR="009C000A">
        <w:noBreakHyphen/>
      </w:r>
      <w:r>
        <w:t>2</w:t>
      </w:r>
      <w:r w:rsidR="009C000A">
        <w:noBreakHyphen/>
      </w:r>
      <w:r>
        <w:t>110.</w:t>
      </w:r>
    </w:p>
    <w:p w:rsidR="00B90FBE" w:rsidRDefault="00B90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Be it enacted by the General Assembly of the State of South Carolina:</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SECTION</w:t>
      </w:r>
      <w:r w:rsidRPr="00604426">
        <w:rPr>
          <w:color w:val="000000" w:themeColor="text1"/>
          <w:u w:color="000000" w:themeColor="text1"/>
        </w:rPr>
        <w:tab/>
        <w:t>1.</w:t>
      </w:r>
      <w:r w:rsidRPr="00604426">
        <w:rPr>
          <w:color w:val="000000" w:themeColor="text1"/>
          <w:u w:color="000000" w:themeColor="text1"/>
        </w:rPr>
        <w:tab/>
        <w:t>Chapter 2, Title 12 of the 1976 Code is amended by adding:</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lastRenderedPageBreak/>
        <w:tab/>
        <w:t>“Section 12</w:t>
      </w:r>
      <w:r w:rsidR="009C000A">
        <w:rPr>
          <w:color w:val="000000" w:themeColor="text1"/>
          <w:u w:color="000000" w:themeColor="text1"/>
        </w:rPr>
        <w:noBreakHyphen/>
      </w:r>
      <w:r w:rsidRPr="00604426">
        <w:rPr>
          <w:color w:val="000000" w:themeColor="text1"/>
          <w:u w:color="000000" w:themeColor="text1"/>
        </w:rPr>
        <w:t>2</w:t>
      </w:r>
      <w:r w:rsidR="009C000A">
        <w:rPr>
          <w:color w:val="000000" w:themeColor="text1"/>
          <w:u w:color="000000" w:themeColor="text1"/>
        </w:rPr>
        <w:noBreakHyphen/>
      </w:r>
      <w:r w:rsidRPr="00604426">
        <w:rPr>
          <w:color w:val="000000" w:themeColor="text1"/>
          <w:u w:color="000000" w:themeColor="text1"/>
        </w:rPr>
        <w:t>110.</w:t>
      </w:r>
      <w:r w:rsidRPr="00604426">
        <w:rPr>
          <w:color w:val="000000" w:themeColor="text1"/>
          <w:u w:color="000000" w:themeColor="text1"/>
        </w:rPr>
        <w:tab/>
        <w:t>(A)</w:t>
      </w:r>
      <w:r w:rsidRPr="00604426">
        <w:rPr>
          <w:color w:val="000000" w:themeColor="text1"/>
          <w:u w:color="000000" w:themeColor="text1"/>
        </w:rPr>
        <w:tab/>
        <w:t>As used in this section:</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r>
      <w:r w:rsidRPr="00604426">
        <w:rPr>
          <w:color w:val="000000" w:themeColor="text1"/>
          <w:u w:color="000000" w:themeColor="text1"/>
        </w:rPr>
        <w:tab/>
        <w:t>(1)</w:t>
      </w:r>
      <w:r w:rsidRPr="00604426">
        <w:rPr>
          <w:color w:val="000000" w:themeColor="text1"/>
          <w:u w:color="000000" w:themeColor="text1"/>
        </w:rPr>
        <w:tab/>
      </w:r>
      <w:r w:rsidR="009C000A" w:rsidRPr="009C000A">
        <w:rPr>
          <w:color w:val="000000" w:themeColor="text1"/>
          <w:u w:color="000000" w:themeColor="text1"/>
        </w:rPr>
        <w:t>‘</w:t>
      </w:r>
      <w:r>
        <w:rPr>
          <w:color w:val="000000" w:themeColor="text1"/>
          <w:u w:color="000000" w:themeColor="text1"/>
        </w:rPr>
        <w:t>A</w:t>
      </w:r>
      <w:r w:rsidRPr="00604426">
        <w:rPr>
          <w:color w:val="000000" w:themeColor="text1"/>
          <w:u w:color="000000" w:themeColor="text1"/>
        </w:rPr>
        <w:t>ppropriation category</w:t>
      </w:r>
      <w:r w:rsidR="009C000A" w:rsidRPr="009C000A">
        <w:rPr>
          <w:color w:val="000000" w:themeColor="text1"/>
          <w:u w:color="000000" w:themeColor="text1"/>
        </w:rPr>
        <w:t>’</w:t>
      </w:r>
      <w:r w:rsidRPr="00604426">
        <w:rPr>
          <w:color w:val="000000" w:themeColor="text1"/>
          <w:u w:color="000000" w:themeColor="text1"/>
        </w:rPr>
        <w:t xml:space="preserve"> shall mean each of the functional groups under which the Office of State Budget categorizes agency appropriations for purposes of historical analysis, including property tax relief </w:t>
      </w:r>
      <w:r>
        <w:rPr>
          <w:color w:val="000000" w:themeColor="text1"/>
          <w:u w:color="000000" w:themeColor="text1"/>
        </w:rPr>
        <w:t>for businesses and individuals.</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r>
      <w:r w:rsidRPr="00604426">
        <w:rPr>
          <w:color w:val="000000" w:themeColor="text1"/>
          <w:u w:color="000000" w:themeColor="text1"/>
        </w:rPr>
        <w:tab/>
        <w:t>(2)</w:t>
      </w:r>
      <w:r w:rsidRPr="00604426">
        <w:rPr>
          <w:color w:val="000000" w:themeColor="text1"/>
          <w:u w:color="000000" w:themeColor="text1"/>
        </w:rPr>
        <w:tab/>
      </w:r>
      <w:r w:rsidR="009C000A" w:rsidRPr="009C000A">
        <w:rPr>
          <w:color w:val="000000" w:themeColor="text1"/>
          <w:u w:color="000000" w:themeColor="text1"/>
        </w:rPr>
        <w:t>‘</w:t>
      </w:r>
      <w:r>
        <w:rPr>
          <w:color w:val="000000" w:themeColor="text1"/>
          <w:u w:color="000000" w:themeColor="text1"/>
        </w:rPr>
        <w:t>R</w:t>
      </w:r>
      <w:r w:rsidRPr="00604426">
        <w:rPr>
          <w:color w:val="000000" w:themeColor="text1"/>
          <w:u w:color="000000" w:themeColor="text1"/>
        </w:rPr>
        <w:t>evenue sources</w:t>
      </w:r>
      <w:r w:rsidR="009C000A" w:rsidRPr="009C000A">
        <w:rPr>
          <w:color w:val="000000" w:themeColor="text1"/>
          <w:u w:color="000000" w:themeColor="text1"/>
        </w:rPr>
        <w:t>’</w:t>
      </w:r>
      <w:r w:rsidRPr="00604426">
        <w:rPr>
          <w:color w:val="000000" w:themeColor="text1"/>
          <w:u w:color="000000" w:themeColor="text1"/>
        </w:rPr>
        <w:t xml:space="preserve"> shall mean each category of state revenue as contained in the Board of Economic Advisor</w:t>
      </w:r>
      <w:r w:rsidR="009C000A" w:rsidRPr="009C000A">
        <w:rPr>
          <w:color w:val="000000" w:themeColor="text1"/>
          <w:u w:color="000000" w:themeColor="text1"/>
        </w:rPr>
        <w:t>’</w:t>
      </w:r>
      <w:r w:rsidRPr="00604426">
        <w:rPr>
          <w:color w:val="000000" w:themeColor="text1"/>
          <w:u w:color="000000" w:themeColor="text1"/>
        </w:rPr>
        <w:t xml:space="preserve">s annual </w:t>
      </w:r>
      <w:r w:rsidR="009C000A" w:rsidRPr="009C000A">
        <w:rPr>
          <w:color w:val="000000" w:themeColor="text1"/>
          <w:u w:color="000000" w:themeColor="text1"/>
        </w:rPr>
        <w:t>‘</w:t>
      </w:r>
      <w:r w:rsidRPr="00604426">
        <w:rPr>
          <w:color w:val="000000" w:themeColor="text1"/>
          <w:u w:color="000000" w:themeColor="text1"/>
        </w:rPr>
        <w:t>General Fund Revenue Forecast Table</w:t>
      </w:r>
      <w:r w:rsidR="009C000A" w:rsidRPr="009C000A">
        <w:rPr>
          <w:color w:val="000000" w:themeColor="text1"/>
          <w:u w:color="000000" w:themeColor="text1"/>
        </w:rPr>
        <w:t>’</w:t>
      </w:r>
      <w:r w:rsidRPr="00604426">
        <w:rPr>
          <w:color w:val="000000" w:themeColor="text1"/>
          <w:u w:color="000000" w:themeColor="text1"/>
        </w:rPr>
        <w:t xml:space="preserve"> utilized during the annual appropriations process.</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t>(B)(1)</w:t>
      </w:r>
      <w:r w:rsidRPr="00604426">
        <w:rPr>
          <w:color w:val="000000" w:themeColor="text1"/>
          <w:u w:color="000000" w:themeColor="text1"/>
        </w:rPr>
        <w:tab/>
        <w:t>The department must develop a chart that accurately reflects the relative proportion of appropriations for each appropriations category to the total appropriations contained in the most recent annual appropriations act.</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r>
      <w:r w:rsidRPr="00604426">
        <w:rPr>
          <w:color w:val="000000" w:themeColor="text1"/>
          <w:u w:color="000000" w:themeColor="text1"/>
        </w:rPr>
        <w:tab/>
        <w:t>(2)</w:t>
      </w:r>
      <w:r w:rsidRPr="00604426">
        <w:rPr>
          <w:color w:val="000000" w:themeColor="text1"/>
          <w:u w:color="000000" w:themeColor="text1"/>
        </w:rPr>
        <w:tab/>
        <w:t xml:space="preserve">The department must also develop a separate chart that accurately reflects the relative proportion of revenue sources to the total revenue that coincides with the revenue utilized in the final version of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t>(C)</w:t>
      </w:r>
      <w:r w:rsidRPr="00604426">
        <w:rPr>
          <w:color w:val="000000" w:themeColor="text1"/>
          <w:u w:color="000000" w:themeColor="text1"/>
        </w:rPr>
        <w:tab/>
        <w:t>The charts must be conspicuously printed on the front page of every income tax form, on the first page of every income tax form instruction booklet, and contained in every e</w:t>
      </w:r>
      <w:r w:rsidR="009C000A">
        <w:rPr>
          <w:color w:val="000000" w:themeColor="text1"/>
          <w:u w:color="000000" w:themeColor="text1"/>
        </w:rPr>
        <w:noBreakHyphen/>
      </w:r>
      <w:r w:rsidRPr="00604426">
        <w:rPr>
          <w:color w:val="000000" w:themeColor="text1"/>
          <w:u w:color="000000" w:themeColor="text1"/>
        </w:rPr>
        <w:t>mail sent to confirm the receipt of income taxes filed electronically.  An explanation of the charts must be printed in every income tax form instruction booklet and in every e</w:t>
      </w:r>
      <w:r w:rsidR="009C000A">
        <w:rPr>
          <w:color w:val="000000" w:themeColor="text1"/>
          <w:u w:color="000000" w:themeColor="text1"/>
        </w:rPr>
        <w:noBreakHyphen/>
      </w:r>
      <w:r w:rsidRPr="00604426">
        <w:rPr>
          <w:color w:val="000000" w:themeColor="text1"/>
          <w:u w:color="000000" w:themeColor="text1"/>
        </w:rPr>
        <w:t>mail sent to confirm the receipt of income taxes filed electronically.”</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SECTION</w:t>
      </w:r>
      <w:r>
        <w:rPr>
          <w:color w:val="000000" w:themeColor="text1"/>
          <w:u w:color="000000" w:themeColor="text1"/>
        </w:rPr>
        <w:tab/>
      </w:r>
      <w:r w:rsidRPr="00604426">
        <w:rPr>
          <w:color w:val="000000" w:themeColor="text1"/>
          <w:u w:color="000000" w:themeColor="text1"/>
        </w:rPr>
        <w:t>2.</w:t>
      </w:r>
      <w:r w:rsidRPr="00604426">
        <w:rPr>
          <w:color w:val="000000" w:themeColor="text1"/>
          <w:u w:color="000000" w:themeColor="text1"/>
        </w:rPr>
        <w:tab/>
        <w:t>Chapter 54, Title 12 of the 1976 Code is amended by adding:</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t>“Section 12</w:t>
      </w:r>
      <w:r w:rsidR="009C000A">
        <w:rPr>
          <w:color w:val="000000" w:themeColor="text1"/>
          <w:u w:color="000000" w:themeColor="text1"/>
        </w:rPr>
        <w:noBreakHyphen/>
      </w:r>
      <w:r w:rsidRPr="00604426">
        <w:rPr>
          <w:color w:val="000000" w:themeColor="text1"/>
          <w:u w:color="000000" w:themeColor="text1"/>
        </w:rPr>
        <w:t>54</w:t>
      </w:r>
      <w:r w:rsidR="009C000A">
        <w:rPr>
          <w:color w:val="000000" w:themeColor="text1"/>
          <w:u w:color="000000" w:themeColor="text1"/>
        </w:rPr>
        <w:noBreakHyphen/>
      </w:r>
      <w:r w:rsidRPr="00604426">
        <w:rPr>
          <w:color w:val="000000" w:themeColor="text1"/>
          <w:u w:color="000000" w:themeColor="text1"/>
        </w:rPr>
        <w:t>255.</w:t>
      </w:r>
      <w:r w:rsidRPr="00604426">
        <w:rPr>
          <w:color w:val="000000" w:themeColor="text1"/>
          <w:u w:color="000000" w:themeColor="text1"/>
        </w:rPr>
        <w:tab/>
        <w:t>The department must provide each taxpayer that utilizes electronic means established by the department to file income tax returns with a confirmation e</w:t>
      </w:r>
      <w:r w:rsidR="009C000A">
        <w:rPr>
          <w:color w:val="000000" w:themeColor="text1"/>
          <w:u w:color="000000" w:themeColor="text1"/>
        </w:rPr>
        <w:noBreakHyphen/>
      </w:r>
      <w:r w:rsidRPr="00604426">
        <w:rPr>
          <w:color w:val="000000" w:themeColor="text1"/>
          <w:u w:color="000000" w:themeColor="text1"/>
        </w:rPr>
        <w:t>mail that, in addition to confirming the receipt of the tax return, contains at least the information required in Section 12</w:t>
      </w:r>
      <w:r w:rsidR="009C000A">
        <w:rPr>
          <w:color w:val="000000" w:themeColor="text1"/>
          <w:u w:color="000000" w:themeColor="text1"/>
        </w:rPr>
        <w:noBreakHyphen/>
      </w:r>
      <w:r w:rsidRPr="00604426">
        <w:rPr>
          <w:color w:val="000000" w:themeColor="text1"/>
          <w:u w:color="000000" w:themeColor="text1"/>
        </w:rPr>
        <w:t>2</w:t>
      </w:r>
      <w:r w:rsidR="009C000A">
        <w:rPr>
          <w:color w:val="000000" w:themeColor="text1"/>
          <w:u w:color="000000" w:themeColor="text1"/>
        </w:rPr>
        <w:noBreakHyphen/>
      </w:r>
      <w:r w:rsidRPr="00604426">
        <w:rPr>
          <w:color w:val="000000" w:themeColor="text1"/>
          <w:u w:color="000000" w:themeColor="text1"/>
        </w:rPr>
        <w:t>110.”</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SECTION</w:t>
      </w:r>
      <w:r w:rsidRPr="00604426">
        <w:rPr>
          <w:color w:val="000000" w:themeColor="text1"/>
          <w:u w:color="000000" w:themeColor="text1"/>
        </w:rPr>
        <w:tab/>
        <w:t>3.</w:t>
      </w:r>
      <w:r w:rsidRPr="00604426">
        <w:rPr>
          <w:color w:val="000000" w:themeColor="text1"/>
          <w:u w:color="000000" w:themeColor="text1"/>
        </w:rPr>
        <w:tab/>
        <w:t>This act takes effect upon approval by the Governor.</w:t>
      </w:r>
    </w:p>
    <w:p w:rsidR="00625814" w:rsidRDefault="009C00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814" w:rsidRDefault="00625814" w:rsidP="00625814">
      <w:pPr>
        <w:suppressAutoHyphens/>
        <w:jc w:val="both"/>
        <w:rPr>
          <w:rFonts w:eastAsia="Times New Roman"/>
        </w:rPr>
      </w:pPr>
    </w:p>
    <w:sectPr w:rsidR="00625814" w:rsidSect="006258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F93" w:rsidRDefault="00230F93" w:rsidP="00522CE0">
      <w:r>
        <w:separator/>
      </w:r>
    </w:p>
  </w:endnote>
  <w:endnote w:type="continuationSeparator" w:id="0">
    <w:p w:rsidR="00230F93" w:rsidRDefault="00230F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C8989B-0E8C-4B1E-9A1A-9F5BC30F6255}"/>
    <w:embedBold r:id="rId2" w:fontKey="{2605B1DB-35D4-4983-9CE1-D5B2C0EF3F8B}"/>
  </w:font>
  <w:font w:name="Calibri">
    <w:panose1 w:val="020F0502020204030204"/>
    <w:charset w:val="00"/>
    <w:family w:val="swiss"/>
    <w:pitch w:val="variable"/>
    <w:sig w:usb0="A00002EF" w:usb1="4000207B" w:usb2="00000000" w:usb3="00000000" w:csb0="0000009F" w:csb1="00000000"/>
    <w:embedRegular r:id="rId3" w:fontKey="{BF9CA5D9-493A-410A-B3B2-DDDE361CDF53}"/>
  </w:font>
  <w:font w:name="Cambria">
    <w:panose1 w:val="02040503050406030204"/>
    <w:charset w:val="00"/>
    <w:family w:val="roman"/>
    <w:pitch w:val="variable"/>
    <w:sig w:usb0="A00002EF" w:usb1="4000004B" w:usb2="00000000" w:usb3="00000000" w:csb0="0000009F" w:csb1="00000000"/>
    <w:embedRegular r:id="rId4" w:fontKey="{47CF95E6-5F79-45DE-BFB9-FE1FDF5B96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C19" w:rsidRPr="00625814" w:rsidRDefault="00625814" w:rsidP="00625814">
    <w:pPr>
      <w:pStyle w:val="Footer"/>
      <w:tabs>
        <w:tab w:val="clear" w:pos="4680"/>
        <w:tab w:val="clear" w:pos="9360"/>
        <w:tab w:val="center" w:pos="2995"/>
      </w:tabs>
      <w:spacing w:before="120"/>
    </w:pPr>
    <w:r>
      <w:t>[1101]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F93" w:rsidRDefault="00230F93" w:rsidP="00522CE0">
      <w:r>
        <w:separator/>
      </w:r>
    </w:p>
  </w:footnote>
  <w:footnote w:type="continuationSeparator" w:id="0">
    <w:p w:rsidR="00230F93" w:rsidRDefault="00230F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3SPEN.KMM.VAS"/>
    <w:docVar w:name="CoverAttorneyInitials" w:val="KMM"/>
    <w:docVar w:name="CoverAttorneyLastName" w:val="Moffitt"/>
    <w:docVar w:name="CoverBillType" w:val="b"/>
    <w:docVar w:name="CoverSenator" w:val="VAS"/>
    <w:docVar w:name="dvBillNumber" w:val="1101"/>
    <w:docVar w:name="dvBillNumberPrefix" w:val="S. "/>
    <w:docVar w:name="dvOriginalBody" w:val="Senate"/>
    <w:docVar w:name="fulldraftpath" w:val="L:\S-RES\VAS\003SPEN.KMM.VAS.DOCX"/>
    <w:docVar w:name="NameofBody" w:val="S"/>
    <w:docVar w:name="vgroup2" w:val="S-RES"/>
  </w:docVars>
  <w:rsids>
    <w:rsidRoot w:val="00C92CE7"/>
    <w:rsid w:val="00023950"/>
    <w:rsid w:val="00042AC1"/>
    <w:rsid w:val="00046516"/>
    <w:rsid w:val="0007601D"/>
    <w:rsid w:val="000B0720"/>
    <w:rsid w:val="000B5EAF"/>
    <w:rsid w:val="000F4039"/>
    <w:rsid w:val="001135F3"/>
    <w:rsid w:val="00170561"/>
    <w:rsid w:val="00186AC9"/>
    <w:rsid w:val="00197DF1"/>
    <w:rsid w:val="001B3DD9"/>
    <w:rsid w:val="001B7E5D"/>
    <w:rsid w:val="001C27AF"/>
    <w:rsid w:val="001D3BAC"/>
    <w:rsid w:val="00230F93"/>
    <w:rsid w:val="00245C4E"/>
    <w:rsid w:val="00247FB3"/>
    <w:rsid w:val="002C1321"/>
    <w:rsid w:val="002C5896"/>
    <w:rsid w:val="002D3BED"/>
    <w:rsid w:val="00307C2B"/>
    <w:rsid w:val="00383247"/>
    <w:rsid w:val="003D6E2B"/>
    <w:rsid w:val="003E7597"/>
    <w:rsid w:val="00450668"/>
    <w:rsid w:val="00457261"/>
    <w:rsid w:val="004952FA"/>
    <w:rsid w:val="00496934"/>
    <w:rsid w:val="004B6A22"/>
    <w:rsid w:val="004D7F37"/>
    <w:rsid w:val="0050551F"/>
    <w:rsid w:val="00522CE0"/>
    <w:rsid w:val="00565148"/>
    <w:rsid w:val="005822C3"/>
    <w:rsid w:val="00593361"/>
    <w:rsid w:val="005A413B"/>
    <w:rsid w:val="005A5017"/>
    <w:rsid w:val="005A648C"/>
    <w:rsid w:val="005F1745"/>
    <w:rsid w:val="006204F3"/>
    <w:rsid w:val="00625814"/>
    <w:rsid w:val="006B04AB"/>
    <w:rsid w:val="006B0A15"/>
    <w:rsid w:val="006C74EA"/>
    <w:rsid w:val="00703BA3"/>
    <w:rsid w:val="00720D40"/>
    <w:rsid w:val="007318D4"/>
    <w:rsid w:val="007625C5"/>
    <w:rsid w:val="00765784"/>
    <w:rsid w:val="007A4390"/>
    <w:rsid w:val="007E237C"/>
    <w:rsid w:val="007E5CB7"/>
    <w:rsid w:val="008314D2"/>
    <w:rsid w:val="008B2F42"/>
    <w:rsid w:val="008C3697"/>
    <w:rsid w:val="008E185F"/>
    <w:rsid w:val="008F023B"/>
    <w:rsid w:val="00904E16"/>
    <w:rsid w:val="009162B3"/>
    <w:rsid w:val="00927C62"/>
    <w:rsid w:val="00983951"/>
    <w:rsid w:val="00984124"/>
    <w:rsid w:val="00984640"/>
    <w:rsid w:val="00995C37"/>
    <w:rsid w:val="009C000A"/>
    <w:rsid w:val="009C118A"/>
    <w:rsid w:val="00A02011"/>
    <w:rsid w:val="00A4011E"/>
    <w:rsid w:val="00A86015"/>
    <w:rsid w:val="00A9594E"/>
    <w:rsid w:val="00AD09FC"/>
    <w:rsid w:val="00AE59C8"/>
    <w:rsid w:val="00B10098"/>
    <w:rsid w:val="00B5790D"/>
    <w:rsid w:val="00B65577"/>
    <w:rsid w:val="00B90FBE"/>
    <w:rsid w:val="00B945C5"/>
    <w:rsid w:val="00BA20EA"/>
    <w:rsid w:val="00BB4945"/>
    <w:rsid w:val="00BB5AFC"/>
    <w:rsid w:val="00BC0A56"/>
    <w:rsid w:val="00C21C19"/>
    <w:rsid w:val="00C45366"/>
    <w:rsid w:val="00C57023"/>
    <w:rsid w:val="00C602F4"/>
    <w:rsid w:val="00C74052"/>
    <w:rsid w:val="00C92CE7"/>
    <w:rsid w:val="00CB187A"/>
    <w:rsid w:val="00CC0EC7"/>
    <w:rsid w:val="00CD7A9C"/>
    <w:rsid w:val="00CF6A56"/>
    <w:rsid w:val="00D1088B"/>
    <w:rsid w:val="00D143C3"/>
    <w:rsid w:val="00D14DE6"/>
    <w:rsid w:val="00D156D2"/>
    <w:rsid w:val="00D86943"/>
    <w:rsid w:val="00DA47B9"/>
    <w:rsid w:val="00E058D3"/>
    <w:rsid w:val="00E76AD9"/>
    <w:rsid w:val="00E91E2F"/>
    <w:rsid w:val="00EA3546"/>
    <w:rsid w:val="00EB47AE"/>
    <w:rsid w:val="00EC34E1"/>
    <w:rsid w:val="00F0234A"/>
    <w:rsid w:val="00F52959"/>
    <w:rsid w:val="00F55884"/>
    <w:rsid w:val="00F60651"/>
    <w:rsid w:val="00F611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2012-01-06T14:45:00Z</cp:lastPrinted>
  <dcterms:created xsi:type="dcterms:W3CDTF">2012-01-12T16:51:00Z</dcterms:created>
  <dcterms:modified xsi:type="dcterms:W3CDTF">2012-01-12T16:51:00Z</dcterms:modified>
</cp:coreProperties>
</file>