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A0915" w:rsidRP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76D" w:rsidRDefault="00743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4376D" w:rsidRDefault="00743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74376D" w:rsidRDefault="00743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74376D" w:rsidP="00A1467F">
      <w:pPr>
        <w:tabs>
          <w:tab w:val="right" w:pos="5933"/>
        </w:tabs>
        <w:suppressAutoHyphens/>
        <w:jc w:val="both"/>
        <w:rPr>
          <w:rFonts w:eastAsia="Times New Roman"/>
        </w:rPr>
      </w:pPr>
      <w:r>
        <w:rPr>
          <w:rFonts w:eastAsia="Times New Roman"/>
        </w:rPr>
        <w:t>S. Printed 3/21</w:t>
      </w:r>
      <w:r w:rsidR="00CA0915">
        <w:rPr>
          <w:rFonts w:eastAsia="Times New Roman"/>
        </w:rPr>
        <w:t>/12--S.</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Pr="00CA0915" w:rsidRDefault="00CA0915" w:rsidP="00A1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0915" w:rsidSect="00CA09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 xml:space="preserve">TO PROVIDE THAT THE CHARTS MUST BE DISPLAYED ON INCOME TAX FORMS, INCOME TAX FORM INSTRUCTION BOOKLETS, AND IN CONFIRMATION 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EMAIL FOR ALL INCOME TAX RETURNS FILED ELECTRONICALLY, AND TO REQUIRE THAT THE CONFIRMATION EMAIL CONTAIN THE CHARTS REQUIRED BY SECTION 12</w:t>
      </w:r>
      <w:r w:rsidR="009C000A">
        <w:noBreakHyphen/>
      </w:r>
      <w:r>
        <w:t>2</w:t>
      </w:r>
      <w:r w:rsidR="009C000A">
        <w:noBreakHyphen/>
      </w:r>
      <w:r>
        <w:t>110.</w:t>
      </w:r>
    </w:p>
    <w:p w:rsidR="004D7AF3"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1.</w:t>
      </w:r>
      <w:r w:rsidRPr="00BF0126">
        <w:rPr>
          <w:color w:val="000000" w:themeColor="text1"/>
          <w:u w:color="000000" w:themeColor="text1"/>
        </w:rPr>
        <w:tab/>
        <w:t xml:space="preserve">Chapter 2, Title 12 of the 1976 Code, is amended by adding: </w:t>
      </w:r>
    </w:p>
    <w:p w:rsidR="004D7AF3" w:rsidRPr="00BF0126" w:rsidRDefault="00A1467F"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2</w:t>
      </w:r>
      <w:r>
        <w:rPr>
          <w:color w:val="000000" w:themeColor="text1"/>
          <w:u w:color="000000" w:themeColor="text1"/>
        </w:rPr>
        <w:noBreakHyphen/>
        <w:t>110.</w:t>
      </w:r>
      <w:r w:rsidR="004D7AF3" w:rsidRPr="00BF0126">
        <w:rPr>
          <w:color w:val="000000" w:themeColor="text1"/>
          <w:u w:color="000000" w:themeColor="text1"/>
        </w:rPr>
        <w:t>(A)</w:t>
      </w:r>
      <w:r w:rsidR="004D7AF3" w:rsidRPr="00BF0126">
        <w:rPr>
          <w:color w:val="000000" w:themeColor="text1"/>
          <w:u w:color="000000" w:themeColor="text1"/>
        </w:rPr>
        <w:tab/>
        <w:t xml:space="preserve">As used in this section: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(1)</w:t>
      </w:r>
      <w:r w:rsidRPr="00BF0126">
        <w:rPr>
          <w:color w:val="000000" w:themeColor="text1"/>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BF0126">
        <w:rPr>
          <w:color w:val="000000" w:themeColor="text1"/>
          <w:u w:color="000000" w:themeColor="text1"/>
        </w:rPr>
        <w:noBreakHyphen/>
        <w:t>37</w:t>
      </w:r>
      <w:r w:rsidRPr="00BF0126">
        <w:rPr>
          <w:color w:val="000000" w:themeColor="text1"/>
          <w:u w:color="000000" w:themeColor="text1"/>
        </w:rPr>
        <w:noBreakHyphen/>
        <w:t>220(B)(47)(a), 12</w:t>
      </w:r>
      <w:r w:rsidRPr="00BF0126">
        <w:rPr>
          <w:color w:val="000000" w:themeColor="text1"/>
          <w:u w:color="000000" w:themeColor="text1"/>
        </w:rPr>
        <w:noBreakHyphen/>
        <w:t>37</w:t>
      </w:r>
      <w:r w:rsidRPr="00BF0126">
        <w:rPr>
          <w:color w:val="000000" w:themeColor="text1"/>
          <w:u w:color="000000" w:themeColor="text1"/>
        </w:rPr>
        <w:noBreakHyphen/>
        <w:t>250, 12</w:t>
      </w:r>
      <w:r w:rsidRPr="00BF0126">
        <w:rPr>
          <w:color w:val="000000" w:themeColor="text1"/>
          <w:u w:color="000000" w:themeColor="text1"/>
        </w:rPr>
        <w:noBreakHyphen/>
        <w:t>37</w:t>
      </w:r>
      <w:r w:rsidRPr="00BF0126">
        <w:rPr>
          <w:color w:val="000000" w:themeColor="text1"/>
          <w:u w:color="000000" w:themeColor="text1"/>
        </w:rPr>
        <w:noBreakHyphen/>
        <w:t>450, and 12</w:t>
      </w:r>
      <w:r w:rsidRPr="00BF0126">
        <w:rPr>
          <w:color w:val="000000" w:themeColor="text1"/>
          <w:u w:color="000000" w:themeColor="text1"/>
        </w:rPr>
        <w:noBreakHyphen/>
        <w:t>37</w:t>
      </w:r>
      <w:r w:rsidRPr="00BF0126">
        <w:rPr>
          <w:color w:val="000000" w:themeColor="text1"/>
          <w:u w:color="000000" w:themeColor="text1"/>
        </w:rPr>
        <w:noBreakHyphen/>
        <w:t>935.</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‘Revenue sources’ means each category of state revenue as contained in the ‘Revenue and Source of Income’ portion of Part 1A of the annual appropriations act excluding non</w:t>
      </w:r>
      <w:r w:rsidRPr="00BF0126">
        <w:rPr>
          <w:color w:val="000000" w:themeColor="text1"/>
          <w:u w:color="000000" w:themeColor="text1"/>
        </w:rPr>
        <w:noBreakHyphen/>
        <w:t xml:space="preserve">state portions of </w:t>
      </w:r>
      <w:r>
        <w:rPr>
          <w:color w:val="000000" w:themeColor="text1"/>
          <w:u w:color="000000" w:themeColor="text1"/>
        </w:rPr>
        <w:t>t</w:t>
      </w:r>
      <w:r w:rsidRPr="00BF0126">
        <w:rPr>
          <w:color w:val="000000" w:themeColor="text1"/>
          <w:u w:color="000000" w:themeColor="text1"/>
        </w:rPr>
        <w:t>ransportation revenue, but including revenue generated by the tax imposed pursuant to Section 12</w:t>
      </w:r>
      <w:r w:rsidRPr="00BF0126">
        <w:rPr>
          <w:color w:val="000000" w:themeColor="text1"/>
          <w:u w:color="000000" w:themeColor="text1"/>
        </w:rPr>
        <w:noBreakHyphen/>
        <w:t>36</w:t>
      </w:r>
      <w:r w:rsidRPr="00BF0126">
        <w:rPr>
          <w:color w:val="000000" w:themeColor="text1"/>
          <w:u w:color="000000" w:themeColor="text1"/>
        </w:rPr>
        <w:noBreakHyphen/>
        <w:t xml:space="preserve">1110 as projected by the Board of Economic Advisors in its annual ‘General Fund Revenue Forecast Table’ utilized during the annual appropriations process.  Revenue sources </w:t>
      </w:r>
      <w:r>
        <w:rPr>
          <w:color w:val="000000" w:themeColor="text1"/>
          <w:u w:color="000000" w:themeColor="text1"/>
        </w:rPr>
        <w:t>may</w:t>
      </w:r>
      <w:r w:rsidRPr="00BF0126">
        <w:rPr>
          <w:color w:val="000000" w:themeColor="text1"/>
          <w:u w:color="000000" w:themeColor="text1"/>
        </w:rPr>
        <w:t xml:space="preserve"> include non</w:t>
      </w:r>
      <w:r w:rsidRPr="00BF0126">
        <w:rPr>
          <w:color w:val="000000" w:themeColor="text1"/>
          <w:u w:color="000000" w:themeColor="text1"/>
        </w:rPr>
        <w:noBreakHyphen/>
        <w:t>recurring state revenue utilized in the annual appropriations act.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(B)(1)</w:t>
      </w:r>
      <w:r w:rsidRPr="00BF0126">
        <w:rPr>
          <w:color w:val="000000" w:themeColor="text1"/>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The Office of State Budget must also develop a separate chart that accurately refl</w:t>
      </w:r>
      <w:r>
        <w:rPr>
          <w:color w:val="000000" w:themeColor="text1"/>
          <w:u w:color="000000" w:themeColor="text1"/>
        </w:rPr>
        <w:t>ects the relative proportion of</w:t>
      </w:r>
      <w:r w:rsidRPr="00BF0126">
        <w:rPr>
          <w:color w:val="000000" w:themeColor="text1"/>
          <w:u w:color="000000" w:themeColor="text1"/>
        </w:rPr>
        <w:t xml:space="preserve">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4D7AF3" w:rsidRPr="00BF0126" w:rsidRDefault="0074376D"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D7FBC">
        <w:rPr>
          <w:color w:val="000000" w:themeColor="text1"/>
          <w:u w:color="000000" w:themeColor="text1"/>
        </w:rPr>
        <w:tab/>
        <w:t>(3)</w:t>
      </w:r>
      <w:r w:rsidRPr="006D7FBC">
        <w:rPr>
          <w:color w:val="000000" w:themeColor="text1"/>
          <w:u w:color="000000" w:themeColor="text1"/>
        </w:rPr>
        <w:tab/>
        <w:t>The Office of State Budget shall provide these charts, along with explanations, to the Department of Revenue no later than August first of each year, to the extent possible.  The explanations must include, but are not limited to, a brief description of the categories presented in the charts created pursuant to items (1) and (2) including reference to, and definition of, key appropriation act terms and processes that the Office deems necessary in order to facilitate the best possible understanding of the charts by taxpayers.  Also, the explanation must include reference to total appropriations, by fund category, utilized in the most recent annual appropriations act as presented in the ‘Recapitulation’ portion of Part 1A of the annual appropriations act.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lastRenderedPageBreak/>
        <w:tab/>
        <w:t>(C)</w:t>
      </w:r>
      <w:r w:rsidRPr="00BF0126">
        <w:rPr>
          <w:color w:val="000000" w:themeColor="text1"/>
          <w:u w:color="000000" w:themeColor="text1"/>
        </w:rPr>
        <w:tab/>
        <w:t xml:space="preserve"> The department must conspicuously display the charts, along with explanations, in its individual income tax return instruction booklet, and prominently display a link to the charts on the homepage of its website.</w:t>
      </w:r>
      <w:r w:rsidRPr="00EB1995">
        <w:rPr>
          <w:color w:val="000000" w:themeColor="text1"/>
          <w:u w:color="000000" w:themeColor="text1"/>
        </w:rPr>
        <w:t xml:space="preserve">  </w:t>
      </w:r>
      <w:r w:rsidRPr="00BF0126">
        <w:rPr>
          <w:color w:val="000000" w:themeColor="text1"/>
          <w:u w:color="000000" w:themeColor="text1"/>
        </w:rPr>
        <w:t>To the extent practicable, the department shall include a link to these charts on Form 1099G if space permits.”</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2.</w:t>
      </w:r>
      <w:r w:rsidRPr="00BF0126">
        <w:rPr>
          <w:color w:val="000000" w:themeColor="text1"/>
          <w:u w:color="000000" w:themeColor="text1"/>
        </w:rPr>
        <w:tab/>
        <w:t>Chapter 54, Title 12 of the 1976 Code is amended by adding:</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“Section 12</w:t>
      </w:r>
      <w:r w:rsidRPr="00BF0126">
        <w:rPr>
          <w:color w:val="000000" w:themeColor="text1"/>
          <w:u w:color="000000" w:themeColor="text1"/>
        </w:rPr>
        <w:noBreakHyphen/>
        <w:t>54</w:t>
      </w:r>
      <w:r w:rsidRPr="00BF0126">
        <w:rPr>
          <w:color w:val="000000" w:themeColor="text1"/>
          <w:u w:color="000000" w:themeColor="text1"/>
        </w:rPr>
        <w:noBreakHyphen/>
        <w:t>255.</w:t>
      </w:r>
      <w:r w:rsidRPr="00BF0126">
        <w:rPr>
          <w:color w:val="000000" w:themeColor="text1"/>
          <w:u w:color="000000" w:themeColor="text1"/>
        </w:rPr>
        <w:tab/>
        <w:t>The department shall encourage tax software providers to create a link to the charts displayed on its website pursua</w:t>
      </w:r>
      <w:r w:rsidR="00A1467F">
        <w:rPr>
          <w:color w:val="000000" w:themeColor="text1"/>
          <w:u w:color="000000" w:themeColor="text1"/>
        </w:rPr>
        <w:t>nt to Section 12</w:t>
      </w:r>
      <w:r w:rsidR="00A1467F">
        <w:rPr>
          <w:color w:val="000000" w:themeColor="text1"/>
          <w:u w:color="000000" w:themeColor="text1"/>
        </w:rPr>
        <w:noBreakHyphen/>
        <w:t>2</w:t>
      </w:r>
      <w:r w:rsidR="00A1467F">
        <w:rPr>
          <w:color w:val="000000" w:themeColor="text1"/>
          <w:u w:color="000000" w:themeColor="text1"/>
        </w:rPr>
        <w:noBreakHyphen/>
        <w:t>110 in the e</w:t>
      </w:r>
      <w:r w:rsidRPr="00BF0126">
        <w:rPr>
          <w:color w:val="000000" w:themeColor="text1"/>
          <w:u w:color="000000" w:themeColor="text1"/>
        </w:rPr>
        <w:t>mail sent by providers when confirming the receipt of income taxes filed electronically.”</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3.</w:t>
      </w:r>
      <w:r w:rsidRPr="00BF0126">
        <w:rPr>
          <w:color w:val="000000" w:themeColor="text1"/>
          <w:u w:color="000000" w:themeColor="text1"/>
        </w:rPr>
        <w:tab/>
        <w:t xml:space="preserve">This act takes effect upon approval by the Governor. </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5B4EEA">
      <w:pPr>
        <w:suppressAutoHyphens/>
        <w:jc w:val="both"/>
        <w:rPr>
          <w:rFonts w:eastAsia="Times New Roman"/>
        </w:rPr>
      </w:pPr>
    </w:p>
    <w:sectPr w:rsidR="00625814" w:rsidSect="00CA09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EE36A-BE74-4CD1-B5B1-E8FD8AB2E6D2}"/>
    <w:embedBold r:id="rId2" w:fontKey="{2DD47B14-7085-40CB-B5A7-66E3C760C4AC}"/>
  </w:font>
  <w:font w:name="Calibri">
    <w:panose1 w:val="020F0502020204030204"/>
    <w:charset w:val="00"/>
    <w:family w:val="swiss"/>
    <w:pitch w:val="variable"/>
    <w:sig w:usb0="A00002EF" w:usb1="4000207B" w:usb2="00000000" w:usb3="00000000" w:csb0="0000009F" w:csb1="00000000"/>
    <w:embedRegular r:id="rId3" w:fontKey="{BB7D35EF-95A5-4D0A-91B6-187D3A528E50}"/>
  </w:font>
  <w:font w:name="Cambria">
    <w:panose1 w:val="02040503050406030204"/>
    <w:charset w:val="00"/>
    <w:family w:val="roman"/>
    <w:pitch w:val="variable"/>
    <w:sig w:usb0="A00002EF" w:usb1="4000004B" w:usb2="00000000" w:usb3="00000000" w:csb0="0000009F" w:csb1="00000000"/>
    <w:embedRegular r:id="rId4" w:fontKey="{8AD23D2F-1729-4C3E-80D6-FB8AC64121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rsidR="00CA0915">
      <w:t>-</w:t>
    </w:r>
    <w:fldSimple w:instr=" PAGE  \* MERGEFORMAT ">
      <w:r w:rsidR="005B4EEA">
        <w:rPr>
          <w:noProof/>
        </w:rPr>
        <w:t>1</w:t>
      </w:r>
    </w:fldSimple>
    <w:r w:rsidR="00CA09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15" w:rsidRPr="00625814" w:rsidRDefault="00CA0915" w:rsidP="00625814">
    <w:pPr>
      <w:pStyle w:val="Footer"/>
      <w:tabs>
        <w:tab w:val="clear" w:pos="4680"/>
        <w:tab w:val="clear" w:pos="9360"/>
        <w:tab w:val="center" w:pos="2995"/>
      </w:tabs>
      <w:spacing w:before="120"/>
    </w:pPr>
    <w:r>
      <w:t>[1101]</w:t>
    </w:r>
    <w:r>
      <w:tab/>
    </w:r>
    <w:fldSimple w:instr=" PAGE  \* MERGEFORMAT ">
      <w:r w:rsidR="005B4E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40B4"/>
    <w:rsid w:val="0007601D"/>
    <w:rsid w:val="000B0720"/>
    <w:rsid w:val="000B5EAF"/>
    <w:rsid w:val="000F4039"/>
    <w:rsid w:val="001135F3"/>
    <w:rsid w:val="00170561"/>
    <w:rsid w:val="00186AC9"/>
    <w:rsid w:val="00197DF1"/>
    <w:rsid w:val="001B3DD9"/>
    <w:rsid w:val="001B7E5D"/>
    <w:rsid w:val="001C27AF"/>
    <w:rsid w:val="001D3BAC"/>
    <w:rsid w:val="00230F93"/>
    <w:rsid w:val="00245C4E"/>
    <w:rsid w:val="00247FB3"/>
    <w:rsid w:val="002C1321"/>
    <w:rsid w:val="002C5896"/>
    <w:rsid w:val="002D3BED"/>
    <w:rsid w:val="00307C2B"/>
    <w:rsid w:val="00370D6D"/>
    <w:rsid w:val="00383247"/>
    <w:rsid w:val="003D6E2B"/>
    <w:rsid w:val="003E7597"/>
    <w:rsid w:val="00450668"/>
    <w:rsid w:val="00457261"/>
    <w:rsid w:val="004952FA"/>
    <w:rsid w:val="00496934"/>
    <w:rsid w:val="004B6A22"/>
    <w:rsid w:val="004D7AF3"/>
    <w:rsid w:val="004D7F37"/>
    <w:rsid w:val="0050551F"/>
    <w:rsid w:val="00522CE0"/>
    <w:rsid w:val="00565148"/>
    <w:rsid w:val="005822C3"/>
    <w:rsid w:val="00593361"/>
    <w:rsid w:val="005A413B"/>
    <w:rsid w:val="005A5017"/>
    <w:rsid w:val="005A648C"/>
    <w:rsid w:val="005B4EEA"/>
    <w:rsid w:val="005F1745"/>
    <w:rsid w:val="006204F3"/>
    <w:rsid w:val="00625814"/>
    <w:rsid w:val="006B04AB"/>
    <w:rsid w:val="006B0A15"/>
    <w:rsid w:val="006C74EA"/>
    <w:rsid w:val="006D2A61"/>
    <w:rsid w:val="00703BA3"/>
    <w:rsid w:val="00720D40"/>
    <w:rsid w:val="007318D4"/>
    <w:rsid w:val="0074376D"/>
    <w:rsid w:val="007625C5"/>
    <w:rsid w:val="00765784"/>
    <w:rsid w:val="00793387"/>
    <w:rsid w:val="007A4390"/>
    <w:rsid w:val="007E237C"/>
    <w:rsid w:val="007E5CB7"/>
    <w:rsid w:val="008314D2"/>
    <w:rsid w:val="008B2F42"/>
    <w:rsid w:val="008B4486"/>
    <w:rsid w:val="008C3697"/>
    <w:rsid w:val="008E185F"/>
    <w:rsid w:val="008F023B"/>
    <w:rsid w:val="008F09C7"/>
    <w:rsid w:val="00904E16"/>
    <w:rsid w:val="009162B3"/>
    <w:rsid w:val="00927C62"/>
    <w:rsid w:val="00983951"/>
    <w:rsid w:val="00984124"/>
    <w:rsid w:val="00984640"/>
    <w:rsid w:val="00995C37"/>
    <w:rsid w:val="009C000A"/>
    <w:rsid w:val="009C118A"/>
    <w:rsid w:val="00A02011"/>
    <w:rsid w:val="00A1467F"/>
    <w:rsid w:val="00A4011E"/>
    <w:rsid w:val="00A86015"/>
    <w:rsid w:val="00A9594E"/>
    <w:rsid w:val="00AD09FC"/>
    <w:rsid w:val="00AE59C8"/>
    <w:rsid w:val="00B10098"/>
    <w:rsid w:val="00B5790D"/>
    <w:rsid w:val="00B65577"/>
    <w:rsid w:val="00B90FBE"/>
    <w:rsid w:val="00B945C5"/>
    <w:rsid w:val="00BA20EA"/>
    <w:rsid w:val="00BB4945"/>
    <w:rsid w:val="00BB5AFC"/>
    <w:rsid w:val="00BC0A56"/>
    <w:rsid w:val="00C21C19"/>
    <w:rsid w:val="00C45366"/>
    <w:rsid w:val="00C57023"/>
    <w:rsid w:val="00C602F4"/>
    <w:rsid w:val="00C74052"/>
    <w:rsid w:val="00C92CE7"/>
    <w:rsid w:val="00CA0915"/>
    <w:rsid w:val="00CB187A"/>
    <w:rsid w:val="00CC0EC7"/>
    <w:rsid w:val="00CD7A9C"/>
    <w:rsid w:val="00CF6A56"/>
    <w:rsid w:val="00D1088B"/>
    <w:rsid w:val="00D143C3"/>
    <w:rsid w:val="00D14DE6"/>
    <w:rsid w:val="00D156D2"/>
    <w:rsid w:val="00D64C56"/>
    <w:rsid w:val="00D86943"/>
    <w:rsid w:val="00DA47B9"/>
    <w:rsid w:val="00DA6C7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2012-01-06T14:45:00Z</cp:lastPrinted>
  <dcterms:created xsi:type="dcterms:W3CDTF">2012-03-21T20:34:00Z</dcterms:created>
  <dcterms:modified xsi:type="dcterms:W3CDTF">2012-03-21T20:34:00Z</dcterms:modified>
</cp:coreProperties>
</file>