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2C8" w:rsidRDefault="003832C8" w:rsidP="00B233F9">
      <w:pPr>
        <w:pStyle w:val="BillDots"/>
      </w:pPr>
      <w:r>
        <w:rPr>
          <w:strike/>
        </w:rPr>
        <w:t>Indicates Matter Stricken</w:t>
      </w:r>
    </w:p>
    <w:p w:rsidR="003832C8" w:rsidRPr="003832C8" w:rsidRDefault="003832C8" w:rsidP="00B233F9">
      <w:pPr>
        <w:pStyle w:val="BillDots"/>
      </w:pPr>
      <w:r>
        <w:rPr>
          <w:u w:val="single"/>
        </w:rPr>
        <w:t>Indicates New Matter</w:t>
      </w:r>
    </w:p>
    <w:p w:rsidR="003832C8" w:rsidRDefault="003832C8" w:rsidP="00B233F9">
      <w:pPr>
        <w:pStyle w:val="BillDots"/>
      </w:pPr>
    </w:p>
    <w:p w:rsidR="003832C8" w:rsidRDefault="003832C8" w:rsidP="00B233F9">
      <w:pPr>
        <w:pStyle w:val="BillDots"/>
      </w:pPr>
      <w:r>
        <w:t>COMMITTEE REPORT</w:t>
      </w:r>
    </w:p>
    <w:p w:rsidR="003832C8" w:rsidRDefault="003832C8" w:rsidP="00B233F9">
      <w:pPr>
        <w:pStyle w:val="BillDots"/>
      </w:pPr>
      <w:r>
        <w:t>February 2, 2011</w:t>
      </w:r>
    </w:p>
    <w:p w:rsidR="003832C8" w:rsidRDefault="003832C8" w:rsidP="00B233F9">
      <w:pPr>
        <w:pStyle w:val="BillDots"/>
      </w:pPr>
    </w:p>
    <w:p w:rsidR="003832C8" w:rsidRPr="003832C8" w:rsidRDefault="003832C8" w:rsidP="003832C8">
      <w:pPr>
        <w:pStyle w:val="BillDots"/>
        <w:tabs>
          <w:tab w:val="clear" w:pos="216"/>
          <w:tab w:val="clear" w:pos="432"/>
          <w:tab w:val="clear" w:pos="648"/>
          <w:tab w:val="clear" w:pos="864"/>
          <w:tab w:val="clear" w:pos="1080"/>
          <w:tab w:val="clear" w:pos="1296"/>
          <w:tab w:val="clear" w:pos="5904"/>
          <w:tab w:val="right" w:pos="5933"/>
        </w:tabs>
      </w:pPr>
      <w:r>
        <w:tab/>
      </w:r>
      <w:r>
        <w:rPr>
          <w:b/>
          <w:sz w:val="36"/>
        </w:rPr>
        <w:t>H. 3375</w:t>
      </w:r>
    </w:p>
    <w:p w:rsidR="003832C8" w:rsidRDefault="003832C8" w:rsidP="00B233F9">
      <w:pPr>
        <w:pStyle w:val="BillDots"/>
      </w:pPr>
    </w:p>
    <w:p w:rsidR="003832C8" w:rsidRDefault="003832C8" w:rsidP="00B233F9">
      <w:pPr>
        <w:pStyle w:val="BillDots"/>
      </w:pPr>
      <w:r>
        <w:t>Introduced by Reps. Harrell, Lucas, Cooper, Hardwick, Harrison, Owens, Sandifer, White, Bingham, Atwater, Parker, Crawford, Loftis, Bowen, G.R. Smith, Bedingfield, Toole, Sottile, V.S. Moss, Forrester, Bikas, Huggins, Brady, Allison, Pinson, Frye, Whitmire, Skelton, Nanney, Henderson, Limehouse, Corbin, Barfield, Battle, Clemmons, Cole, Crosby, Daning, Gambrell, Hamilton, Hiott, Hixon, Horne, Lowe, D.C. Moss, Murphy, Norman, Patrick, Simrill, G.M. Smith, J.R. Smith, Spires, Taylor, Willis, Young, Herbkersman, Ballentine, Thayer, Bannister, McCoy, Tallon, Stringer, Long, Hayes, Ott, J.M. Neal, Vick, G.A. Brown, Branham, Anthony, Bowers, Sellers, Quinn and Hearn</w:t>
      </w:r>
    </w:p>
    <w:p w:rsidR="003832C8" w:rsidRDefault="003832C8" w:rsidP="00B233F9">
      <w:pPr>
        <w:pStyle w:val="BillDots"/>
      </w:pPr>
    </w:p>
    <w:p w:rsidR="003832C8" w:rsidRDefault="003832C8" w:rsidP="00B233F9">
      <w:pPr>
        <w:pStyle w:val="BillDots"/>
      </w:pPr>
      <w:r>
        <w:t>S. Printed 2/2/11--H.</w:t>
      </w:r>
    </w:p>
    <w:p w:rsidR="003832C8" w:rsidRDefault="003832C8" w:rsidP="00B233F9">
      <w:pPr>
        <w:pStyle w:val="BillDots"/>
      </w:pPr>
      <w:r>
        <w:t>Read the first time January 19, 2011.</w:t>
      </w:r>
    </w:p>
    <w:p w:rsidR="003832C8" w:rsidRPr="003832C8" w:rsidRDefault="003832C8" w:rsidP="003832C8">
      <w:pPr>
        <w:pStyle w:val="BillDots"/>
        <w:jc w:val="center"/>
      </w:pPr>
      <w:r>
        <w:rPr>
          <w:u w:val="single"/>
        </w:rPr>
        <w:t>            </w:t>
      </w:r>
    </w:p>
    <w:p w:rsidR="003832C8" w:rsidRDefault="003832C8" w:rsidP="00B233F9">
      <w:pPr>
        <w:pStyle w:val="BillDots"/>
      </w:pPr>
    </w:p>
    <w:p w:rsidR="003832C8" w:rsidRPr="003832C8" w:rsidRDefault="003832C8" w:rsidP="003832C8">
      <w:pPr>
        <w:pStyle w:val="BillDots"/>
        <w:jc w:val="center"/>
      </w:pPr>
      <w:r>
        <w:rPr>
          <w:b/>
        </w:rPr>
        <w:t>THE COMMITTEE ON JUDICIARY</w:t>
      </w:r>
    </w:p>
    <w:p w:rsidR="003832C8" w:rsidRDefault="003832C8" w:rsidP="00B233F9">
      <w:pPr>
        <w:pStyle w:val="BillDots"/>
      </w:pPr>
      <w:r>
        <w:tab/>
        <w:t>To whom was referred a Bill (H. 3375) to amend the Code of Laws of South Carolina, 1976, so as to enact the “South Carolina Fairness in Civil Justice Act of 2011” by amending Article 5, etc., respectfully</w:t>
      </w:r>
    </w:p>
    <w:p w:rsidR="003832C8" w:rsidRPr="003832C8" w:rsidRDefault="003832C8" w:rsidP="003832C8">
      <w:pPr>
        <w:pStyle w:val="BillDots"/>
        <w:jc w:val="center"/>
      </w:pPr>
      <w:r>
        <w:rPr>
          <w:b/>
        </w:rPr>
        <w:t>REPORT:</w:t>
      </w:r>
    </w:p>
    <w:p w:rsidR="003832C8" w:rsidRDefault="003832C8" w:rsidP="00B233F9">
      <w:pPr>
        <w:pStyle w:val="BillDots"/>
      </w:pPr>
      <w:r>
        <w:tab/>
        <w:t>That they have duly and carefully considered the same and recommend that the same do pass:</w:t>
      </w:r>
    </w:p>
    <w:p w:rsidR="003832C8" w:rsidRDefault="003832C8" w:rsidP="00B233F9">
      <w:pPr>
        <w:pStyle w:val="BillDots"/>
      </w:pPr>
    </w:p>
    <w:p w:rsidR="003832C8" w:rsidRDefault="003832C8" w:rsidP="00B233F9">
      <w:pPr>
        <w:pStyle w:val="BillDots"/>
      </w:pPr>
      <w:r>
        <w:t>JAMES H. HARRISON for Committee.</w:t>
      </w:r>
    </w:p>
    <w:p w:rsidR="003832C8" w:rsidRPr="003832C8" w:rsidRDefault="003832C8" w:rsidP="003832C8">
      <w:pPr>
        <w:pStyle w:val="BillDots"/>
        <w:jc w:val="center"/>
      </w:pPr>
      <w:r>
        <w:rPr>
          <w:u w:val="single"/>
        </w:rPr>
        <w:t>            </w:t>
      </w:r>
    </w:p>
    <w:p w:rsidR="003832C8" w:rsidRDefault="003832C8" w:rsidP="00B233F9">
      <w:pPr>
        <w:pStyle w:val="BillDots"/>
        <w:sectPr w:rsidR="003832C8" w:rsidSect="003832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33F9" w:rsidRDefault="00B233F9" w:rsidP="00B233F9">
      <w:pPr>
        <w:pStyle w:val="BillDots"/>
      </w:pPr>
    </w:p>
    <w:p w:rsidR="00B233F9" w:rsidRDefault="00B233F9" w:rsidP="00B233F9">
      <w:pPr>
        <w:pStyle w:val="Numbersforbill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45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“SOUTH CAROLINA FAIRN</w:t>
      </w:r>
      <w:r w:rsidR="006251CA">
        <w:t>ESS IN CIVIL JUSTICE ACT OF 2011</w:t>
      </w:r>
      <w:r>
        <w:t>” BY AMENDING ARTICLE 5, CHAPTER 32, TITLE 15, RELATING TO PUNITIVE DAMAGES, SO AS TO PROVIDE LIMITS ON THE AWARD OF PUNITIVE DAMAGES AND TO PROVIDE FOR CERTAIN PROCEDURES AND REQUIREMENTS RELATING TO THE AWARD OF THESE DAMAGES; BY ADDING SECTIONS 1</w:t>
      </w:r>
      <w:r>
        <w:noBreakHyphen/>
        <w:t>7</w:t>
      </w:r>
      <w:r>
        <w:noBreakHyphen/>
        <w:t>750 AND 1-7-760 SO AS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AND TO PROVIDE FOR THE SUSPENSION OF THE LIMITATIONS UNDER CERTAIN EXCEPTIONAL CIRCUMSTANCES; TO AMEND SECTION 15</w:t>
      </w:r>
      <w:r>
        <w:noBreakHyphen/>
        <w:t>3</w:t>
      </w:r>
      <w:r>
        <w:noBreakHyphen/>
        <w:t>670, RELATING TO LIMITATIONS ON ACTIONS BASED ON UNSAFE OR DEFECTIVE IMPROVEMENTS TO REAL PROPERTY, SO AS TO PROVIDE THAT THE VIOLATION OF A BUILDING CODE DOES NOT CONSTITUTE PER SE FRAUD, GROSS NEGLIGENCE, OR RECKLESSNESS BUT MAY BE ADMISSIBLE AS EVIDENCE; TO AMEND SECTION 18</w:t>
      </w:r>
      <w:r>
        <w:noBreakHyphen/>
        <w:t>9</w:t>
      </w:r>
      <w:r>
        <w:noBreakHyphen/>
        <w:t>130, AS AMENDED, RELATING TO THE EFFECT OF A NOTICE OF APPEAL ON THE EXECUTION OF JUDGMENT, SO AS TO PROVIDE LIMITS FOR APPEAL BONDS; AND TO AMEND SECTION 56</w:t>
      </w:r>
      <w:r>
        <w:noBreakHyphen/>
        <w:t>5</w:t>
      </w:r>
      <w:r>
        <w:noBreakHyphen/>
        <w:t xml:space="preserve">6540, AS AMENDED, RELATING TO THE PENALTIES FOR THE MANDATORY USE OF SEATBELTS, SO AS TO DELETE THE PROVISION THAT PROVIDED THAT A VIOLATION FOR FAILURE TO WEAR A SEATBELT IS NOT </w:t>
      </w:r>
      <w:r>
        <w:lastRenderedPageBreak/>
        <w:t>NEGLIGENCE PER SE OR COMPARATIVE NEGLIGENCE AND IS NOT ADMISSIBLE IN A CIVIL ACTION.</w:t>
      </w: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1.</w:t>
      </w:r>
      <w:r w:rsidRPr="001B3A93">
        <w:tab/>
        <w:t>This act may be cited as the “South Carolina Fairness in Civil Justice Act of 201</w:t>
      </w:r>
      <w:r>
        <w:t>1</w:t>
      </w:r>
      <w:r w:rsidRPr="001B3A93">
        <w: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2.</w:t>
      </w:r>
      <w:r w:rsidRPr="001B3A93">
        <w:tab/>
        <w:t>Chapter 32, Title 15 of the 1976 Code is amended by adding:</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“Article 5</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Punitive Damages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510.</w:t>
      </w:r>
      <w:r w:rsidRPr="001B3A93">
        <w:rPr>
          <w:sz w:val="22"/>
          <w:u w:color="000000" w:themeColor="text1"/>
        </w:rPr>
        <w:tab/>
        <w:t>(A)</w:t>
      </w:r>
      <w:r w:rsidRPr="001B3A93">
        <w:rPr>
          <w:sz w:val="22"/>
          <w:u w:color="000000" w:themeColor="text1"/>
        </w:rPr>
        <w:tab/>
        <w:t>A claim for punitive damages must be specifically prayed for in the complaint.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The plaintiff shall not specifically plead an amount of punitive damages, only that punitive damages are sought in the action. </w:t>
      </w:r>
    </w:p>
    <w:p w:rsidR="00A429E2"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520.</w:t>
      </w:r>
      <w:r w:rsidRPr="001B3A93">
        <w:rPr>
          <w:sz w:val="22"/>
          <w:u w:color="000000" w:themeColor="text1"/>
        </w:rPr>
        <w:tab/>
      </w:r>
      <w:r w:rsidRPr="001B3A93">
        <w:rPr>
          <w:sz w:val="22"/>
          <w:u w:color="000000" w:themeColor="text1"/>
        </w:rPr>
        <w:tab/>
        <w:t>(A)</w:t>
      </w:r>
      <w:r w:rsidRPr="001B3A93">
        <w:rPr>
          <w:sz w:val="22"/>
          <w:u w:color="000000" w:themeColor="text1"/>
        </w:rPr>
        <w:tab/>
        <w:t xml:space="preserve">All actions tried before a jury involving punitive damages, if requested by any defendant against which punitive damages are sought, must be conducted in a bifurcated manner before the same jury.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 xml:space="preserve">Punitive damages may be considered if compensatory damages have been awarded in the first stage of the trial. An award of nominal damages cannot support an award of punitive damages.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(D)</w:t>
      </w:r>
      <w:r w:rsidRPr="001B3A93">
        <w:rPr>
          <w:sz w:val="22"/>
          <w:u w:color="000000" w:themeColor="text1"/>
        </w:rPr>
        <w:tab/>
        <w:t xml:space="preserve">Punitive damages may only be awarded if the plaintiff proves by clear and convincing evidence that his harm was the result of the defendant’s wilful, wanton, or reckless conduct.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(E)</w:t>
      </w:r>
      <w:r w:rsidRPr="001B3A93">
        <w:rPr>
          <w:sz w:val="22"/>
          <w:u w:color="000000" w:themeColor="text1"/>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w:t>
      </w:r>
      <w:r w:rsidRPr="001B3A93">
        <w:rPr>
          <w:sz w:val="22"/>
          <w:u w:color="000000" w:themeColor="text1"/>
        </w:rPr>
        <w:tab/>
        <w:t>the defendant’s degree of culpability;</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 xml:space="preserve">the severity of the harm caused by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 xml:space="preserve">the extent to which the plaintiff’s own conduct contributed to the harm;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(4)</w:t>
      </w:r>
      <w:r w:rsidRPr="001B3A93">
        <w:rPr>
          <w:sz w:val="22"/>
          <w:u w:color="000000" w:themeColor="text1"/>
        </w:rPr>
        <w:tab/>
        <w:t xml:space="preserve">the duration of the conduct, the defendant’s awareness, and any concealment by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(5)</w:t>
      </w:r>
      <w:r w:rsidRPr="001B3A93">
        <w:rPr>
          <w:sz w:val="22"/>
          <w:u w:color="000000" w:themeColor="text1"/>
        </w:rPr>
        <w:tab/>
        <w:t>the existence of similar past conduct;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(6)</w:t>
      </w:r>
      <w:r w:rsidRPr="001B3A93">
        <w:rPr>
          <w:sz w:val="22"/>
          <w:u w:color="000000" w:themeColor="text1"/>
        </w:rPr>
        <w:tab/>
        <w:t xml:space="preserve">the profitability of the conduct to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(7)</w:t>
      </w:r>
      <w:r w:rsidRPr="001B3A93">
        <w:rPr>
          <w:sz w:val="22"/>
          <w:u w:color="000000" w:themeColor="text1"/>
        </w:rPr>
        <w:tab/>
        <w:t>the defendant’s ability to pay;</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(8)</w:t>
      </w:r>
      <w:r w:rsidRPr="001B3A93">
        <w:rPr>
          <w:sz w:val="22"/>
          <w:u w:color="000000" w:themeColor="text1"/>
        </w:rPr>
        <w:tab/>
        <w:t>the likelihood the award will deter the defendant or others from like conduct;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(9)</w:t>
      </w:r>
      <w:r w:rsidRPr="001B3A93">
        <w:rPr>
          <w:sz w:val="22"/>
          <w:u w:color="000000" w:themeColor="text1"/>
        </w:rPr>
        <w:tab/>
        <w:t xml:space="preserve">the awards of punitive damages against the defendant in any state or federal court action alleging harm from the same act or course of conduct complained of by the plaintiff;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(10)</w:t>
      </w:r>
      <w:r w:rsidRPr="001B3A93">
        <w:rPr>
          <w:sz w:val="22"/>
          <w:u w:color="000000" w:themeColor="text1"/>
        </w:rPr>
        <w:tab/>
        <w:t xml:space="preserve">any criminal penalties imposed on the defendant as a result of the same act or course of conduct complained of by the plaintiff; and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(11)</w:t>
      </w:r>
      <w:r w:rsidRPr="001B3A93">
        <w:rPr>
          <w:sz w:val="22"/>
          <w:u w:color="000000" w:themeColor="text1"/>
        </w:rPr>
        <w:tab/>
        <w:t xml:space="preserve">the amount of any civil fines assessed against the defendant as a result of the same act or course of conduct complained of by the plaintiff.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(F)</w:t>
      </w:r>
      <w:r w:rsidRPr="001B3A93">
        <w:rPr>
          <w:sz w:val="22"/>
          <w:u w:color="000000" w:themeColor="text1"/>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(G)</w:t>
      </w:r>
      <w:r w:rsidRPr="001B3A93">
        <w:rPr>
          <w:sz w:val="22"/>
          <w:u w:color="000000" w:themeColor="text1"/>
        </w:rPr>
        <w:tab/>
        <w:t xml:space="preserve">In an action with multiple defendants, a punitive damages award must be specific to each defendant, and each defendant is liable only for the amount of the award made against that defendant. </w:t>
      </w:r>
    </w:p>
    <w:p w:rsidR="00A429E2"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530.</w:t>
      </w:r>
      <w:r w:rsidRPr="001B3A93">
        <w:rPr>
          <w:sz w:val="22"/>
          <w:u w:color="000000" w:themeColor="text1"/>
        </w:rPr>
        <w:tab/>
        <w:t>(A)</w:t>
      </w:r>
      <w:r w:rsidRPr="001B3A93">
        <w:rPr>
          <w:sz w:val="22"/>
          <w:u w:color="000000" w:themeColor="text1"/>
        </w:rPr>
        <w:tab/>
        <w:t>An award of punitive damages may not exceed three times the amount of the plaintiff’s compensatory damages award or three hundred fifty thousand dollars, whichever is greater.</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The limitations provided in subsection (A) do not apply in the following situations, when the:</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0050FB">
        <w:rPr>
          <w:sz w:val="22"/>
          <w:u w:color="000000" w:themeColor="text1"/>
        </w:rPr>
        <w:tab/>
        <w:t>(1)</w:t>
      </w:r>
      <w:r w:rsidRPr="000050FB">
        <w:rPr>
          <w:sz w:val="22"/>
          <w:u w:color="000000" w:themeColor="text1"/>
        </w:rPr>
        <w:tab/>
        <w:t>fact finder determines that at the time of the plaintiff’s injury the defendant pursued an intentional course of conduct that the defendant knew would ca</w:t>
      </w:r>
      <w:r>
        <w:rPr>
          <w:sz w:val="22"/>
          <w:u w:color="000000" w:themeColor="text1"/>
        </w:rPr>
        <w:t>use injury or damage;</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defendant pleads guilty to or is convicted of a felony arising out of the same act or course of conduct complained of by the plaintiff and that act or course of conduct is the proximate cause of the plaintiff’s damages; or</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fact finder determines that the defendant acted or failed to act while under the influence of alcohol, drugs, other than lawfully prescribed drugs administered in accordance with a prescription, or any intentionally consumed glue, aerosol, or other toxic vapor to the degree that defendant’s judgment is substantially impaired.</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The limitations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amount allowed in subsection (A).”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SECTION</w:t>
      </w:r>
      <w:r w:rsidRPr="001B3A93">
        <w:rPr>
          <w:bCs/>
          <w:snapToGrid w:val="0"/>
          <w:szCs w:val="24"/>
          <w:u w:color="000000" w:themeColor="text1"/>
        </w:rPr>
        <w:tab/>
        <w:t>3.</w:t>
      </w:r>
      <w:r w:rsidRPr="001B3A93">
        <w:rPr>
          <w:bCs/>
          <w:snapToGrid w:val="0"/>
          <w:szCs w:val="24"/>
          <w:u w:color="000000" w:themeColor="text1"/>
        </w:rPr>
        <w:tab/>
        <w:t>Article 5, Chapter 7, Title 1 of the 1976 Code is amended by adding:</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“Section 1</w:t>
      </w:r>
      <w:r w:rsidRPr="001B3A93">
        <w:rPr>
          <w:bCs/>
          <w:snapToGrid w:val="0"/>
          <w:szCs w:val="24"/>
          <w:u w:color="000000" w:themeColor="text1"/>
        </w:rPr>
        <w:noBreakHyphen/>
        <w:t>7</w:t>
      </w:r>
      <w:r w:rsidRPr="001B3A93">
        <w:rPr>
          <w:bCs/>
          <w:snapToGrid w:val="0"/>
          <w:szCs w:val="24"/>
          <w:u w:color="000000" w:themeColor="text1"/>
        </w:rPr>
        <w:noBreakHyphen/>
        <w:t>750.</w:t>
      </w:r>
      <w:r w:rsidRPr="001B3A93">
        <w:rPr>
          <w:bCs/>
          <w:snapToGrid w:val="0"/>
          <w:szCs w:val="24"/>
          <w:u w:color="000000" w:themeColor="text1"/>
        </w:rPr>
        <w:tab/>
        <w:t>(A)</w:t>
      </w:r>
      <w:r w:rsidRPr="001B3A93">
        <w:rPr>
          <w:bCs/>
          <w:snapToGrid w:val="0"/>
          <w:szCs w:val="24"/>
          <w:u w:color="000000" w:themeColor="text1"/>
        </w:rPr>
        <w:tab/>
        <w:t>This section may be cited as the ‘Private Attorney Retention Sunshine Act’.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(B)</w:t>
      </w:r>
      <w:r w:rsidRPr="001B3A93">
        <w:rPr>
          <w:bCs/>
          <w:snapToGrid w:val="0"/>
          <w:szCs w:val="24"/>
          <w:u w:color="000000" w:themeColor="text1"/>
        </w:rPr>
        <w:tab/>
      </w:r>
      <w:r w:rsidRPr="001B3A93">
        <w:rPr>
          <w:snapToGrid w:val="0"/>
          <w:u w:color="000000" w:themeColor="text1"/>
        </w:rPr>
        <w:t>Except as provided in Section 1</w:t>
      </w:r>
      <w:r w:rsidRPr="001B3A93">
        <w:rPr>
          <w:snapToGrid w:val="0"/>
          <w:u w:color="000000" w:themeColor="text1"/>
        </w:rPr>
        <w:noBreakHyphen/>
        <w:t>7</w:t>
      </w:r>
      <w:r w:rsidRPr="001B3A93">
        <w:rPr>
          <w:snapToGrid w:val="0"/>
          <w:u w:color="000000" w:themeColor="text1"/>
        </w:rPr>
        <w:noBreakHyphen/>
        <w:t xml:space="preserve">760, </w:t>
      </w:r>
      <w:r w:rsidRPr="001B3A93">
        <w:rPr>
          <w:bCs/>
          <w:snapToGrid w:val="0"/>
          <w:szCs w:val="24"/>
          <w:u w:color="000000" w:themeColor="text1"/>
        </w:rPr>
        <w:t>when the Attorney General or a circuit solicitor retains, engages, associates, hires, or otherwise obtains a private attorney, attorneys, or law firm as outside counsel for any reason, the outside counsel is required to enter into a contract that is governed by the following terms, provisions, or conditions: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bCs/>
          <w:szCs w:val="28"/>
          <w:u w:color="000000" w:themeColor="text1"/>
        </w:rPr>
        <w:tab/>
      </w:r>
      <w:r w:rsidRPr="001B3A93">
        <w:rPr>
          <w:bCs/>
          <w:szCs w:val="28"/>
          <w:u w:color="000000" w:themeColor="text1"/>
        </w:rPr>
        <w:tab/>
      </w:r>
      <w:r w:rsidRPr="001B3A93">
        <w:rPr>
          <w:u w:color="000000" w:themeColor="text1"/>
        </w:rPr>
        <w:t>(1)</w:t>
      </w:r>
      <w:r w:rsidRPr="001B3A93">
        <w:rPr>
          <w:u w:color="000000" w:themeColor="text1"/>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(2)</w:t>
      </w:r>
      <w:r w:rsidRPr="001B3A93">
        <w:rPr>
          <w:u w:color="000000" w:themeColor="text1"/>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(3)</w:t>
      </w:r>
      <w:r w:rsidRPr="001B3A93">
        <w:rPr>
          <w:u w:color="000000" w:themeColor="text1"/>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(4)</w:t>
      </w:r>
      <w:r w:rsidRPr="001B3A93">
        <w:rPr>
          <w:snapToGrid w:val="0"/>
          <w:szCs w:val="24"/>
          <w:u w:color="000000" w:themeColor="text1"/>
        </w:rPr>
        <w:tab/>
        <w:t xml:space="preserve">outside counsel will render services as an independent contractor.  Neither outside counsel nor an employee of outside counsel is regarded as employed by, or as an employee of, the Attorney General, a </w:t>
      </w:r>
      <w:r w:rsidRPr="001B3A93">
        <w:rPr>
          <w:u w:color="000000" w:themeColor="text1"/>
        </w:rPr>
        <w:t>circuit</w:t>
      </w:r>
      <w:r w:rsidRPr="001B3A93">
        <w:rPr>
          <w:snapToGrid w:val="0"/>
          <w:szCs w:val="24"/>
          <w:u w:color="000000" w:themeColor="text1"/>
        </w:rPr>
        <w:t xml:space="preserve"> solicitor, or the State.  An attorney</w:t>
      </w:r>
      <w:r w:rsidRPr="001B3A93">
        <w:rPr>
          <w:snapToGrid w:val="0"/>
          <w:szCs w:val="24"/>
          <w:u w:color="000000" w:themeColor="text1"/>
        </w:rPr>
        <w:noBreakHyphen/>
        <w:t xml:space="preserve">client relationship exists between the Attorney General or </w:t>
      </w:r>
      <w:r w:rsidRPr="001B3A93">
        <w:rPr>
          <w:u w:color="000000" w:themeColor="text1"/>
        </w:rPr>
        <w:t>circuit</w:t>
      </w:r>
      <w:r w:rsidRPr="001B3A93">
        <w:rPr>
          <w:snapToGrid w:val="0"/>
          <w:szCs w:val="24"/>
          <w:u w:color="000000" w:themeColor="text1"/>
        </w:rPr>
        <w:t xml:space="preserve"> solicitor and outside counsel;</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(5)</w:t>
      </w:r>
      <w:r w:rsidRPr="001B3A93">
        <w:rPr>
          <w:snapToGrid w:val="0"/>
          <w:szCs w:val="24"/>
          <w:u w:color="000000" w:themeColor="text1"/>
        </w:rPr>
        <w:tab/>
        <w:t xml:space="preserve">detailed time and cost records reflecting all work must be maintained by outside counsel and presented monthly to the Attorney General or </w:t>
      </w:r>
      <w:r w:rsidRPr="001B3A93">
        <w:rPr>
          <w:u w:color="000000" w:themeColor="text1"/>
        </w:rPr>
        <w:t>circuit</w:t>
      </w:r>
      <w:r w:rsidRPr="001B3A93">
        <w:rPr>
          <w:snapToGrid w:val="0"/>
          <w:szCs w:val="24"/>
          <w:u w:color="000000" w:themeColor="text1"/>
        </w:rPr>
        <w:t xml:space="preserve"> solicitor;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(6)</w:t>
      </w:r>
      <w:r w:rsidRPr="001B3A93">
        <w:rPr>
          <w:snapToGrid w:val="0"/>
          <w:szCs w:val="24"/>
          <w:u w:color="000000" w:themeColor="text1"/>
        </w:rPr>
        <w:tab/>
        <w:t xml:space="preserve">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General’s or </w:t>
      </w:r>
      <w:r w:rsidRPr="001B3A93">
        <w:rPr>
          <w:u w:color="000000" w:themeColor="text1"/>
        </w:rPr>
        <w:t>circuit</w:t>
      </w:r>
      <w:r w:rsidRPr="001B3A93">
        <w:rPr>
          <w:snapToGrid w:val="0"/>
          <w:szCs w:val="24"/>
          <w:u w:color="000000" w:themeColor="text1"/>
        </w:rPr>
        <w:t xml:space="preserve"> solicitor’s express prior approval in writing;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(7)</w:t>
      </w:r>
      <w:r w:rsidRPr="001B3A93">
        <w:rPr>
          <w:u w:color="000000" w:themeColor="text1"/>
        </w:rPr>
        <w:tab/>
        <w:t>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(8)</w:t>
      </w:r>
      <w:r w:rsidRPr="001B3A93">
        <w:rPr>
          <w:u w:color="000000" w:themeColor="text1"/>
        </w:rPr>
        <w:tab/>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(a)</w:t>
      </w:r>
      <w:r w:rsidRPr="001B3A93">
        <w:rPr>
          <w:u w:color="000000" w:themeColor="text1"/>
        </w:rPr>
        <w:tab/>
        <w:t>outside counsel may not be paid, not including punitive or exemplary damages, more than the following percentages corresponding to the amount of the judgment or settlement: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twenty</w:t>
      </w:r>
      <w:r w:rsidRPr="001B3A93">
        <w:rPr>
          <w:u w:color="000000" w:themeColor="text1"/>
        </w:rPr>
        <w:noBreakHyphen/>
        <w:t>three percent of the judgment or settlement up to and including the first $5,000,000;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nineteen percent of that portion of the judgment or settlement in excess of $5,000,000 up to $10,000,000;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fifteen percent of that portion of the judgment or settlement in excess of $10,000,000 up to $25,000,000;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(iv)</w:t>
      </w:r>
      <w:r w:rsidRPr="001B3A93">
        <w:rPr>
          <w:u w:color="000000" w:themeColor="text1"/>
        </w:rPr>
        <w:tab/>
        <w:t>eleven percent of that portion of the judgment or settlement in excess of $25,000,000 up to $50,000,000;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w:t>
      </w:r>
      <w:r w:rsidRPr="001B3A93">
        <w:rPr>
          <w:u w:color="000000" w:themeColor="text1"/>
        </w:rPr>
        <w:tab/>
        <w:t>seven percent of that portion of the judgment or settlement in excess of $50,000,000 but less than $100,000,000;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(vi)</w:t>
      </w:r>
      <w:r w:rsidRPr="001B3A93">
        <w:rPr>
          <w:u w:color="000000" w:themeColor="text1"/>
        </w:rPr>
        <w:tab/>
        <w:t>four percent of that portion of the judgment or settlement in excess of $100,000,000.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ab/>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(b)</w:t>
      </w:r>
      <w:r w:rsidRPr="001B3A93">
        <w:rPr>
          <w:szCs w:val="18"/>
          <w:u w:color="000000" w:themeColor="text1"/>
        </w:rPr>
        <w:tab/>
        <w:t>t</w:t>
      </w:r>
      <w:r w:rsidRPr="001B3A93">
        <w:rPr>
          <w:u w:color="000000" w:themeColor="text1"/>
        </w:rPr>
        <w:t>he remaining net settlement or judgment proceeding, but not including punitive or exemplary damages,  must be paid or applied to or for the State or the people of South Carolina or the victims in a manner to be determined by the Attorney General or circuit solicitor in his sole discretion;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(c)</w:t>
      </w:r>
      <w:r w:rsidRPr="001B3A93">
        <w:rPr>
          <w:u w:color="000000" w:themeColor="text1"/>
        </w:rPr>
        <w:tab/>
        <w:t>outside counsel may not be paid more than the following percentages corresponding to the amount of punitive or exemplary damages: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ten percent of the damages up to and including the first $10,000,000;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five percent of that portion of the damages in excess of $10,000,000 up to $100,000,000;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three percent of that portion of the damages in excess of $100,000,000.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u w:color="000000" w:themeColor="text1"/>
        </w:rPr>
        <w:tab/>
      </w:r>
      <w:r w:rsidRPr="001B3A93">
        <w:rPr>
          <w:szCs w:val="18"/>
          <w:u w:color="000000" w:themeColor="text1"/>
        </w:rPr>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(d)</w:t>
      </w:r>
      <w:r w:rsidRPr="001B3A93">
        <w:rPr>
          <w:szCs w:val="18"/>
          <w:u w:color="000000" w:themeColor="text1"/>
        </w:rPr>
        <w:tab/>
        <w:t xml:space="preserve">the remaining amount of punitive and exemplary damages </w:t>
      </w:r>
      <w:r w:rsidRPr="001B3A93">
        <w:rPr>
          <w:u w:color="000000" w:themeColor="text1"/>
        </w:rPr>
        <w:t>must be paid or applied to or for the State or the people of South Carolina or the victims in a manner to be determined by the Attorney General or circuit solicitor in his sole discretion;</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(e)</w:t>
      </w:r>
      <w:r w:rsidRPr="001B3A93">
        <w:rPr>
          <w:u w:color="000000" w:themeColor="text1"/>
        </w:rPr>
        <w:tab/>
        <w:t>all settlement or judgment proceeds shall be paid by or on behalf of any defendant to the Attorney General or circuit solicitor’s office for distribution;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(f)</w:t>
      </w:r>
      <w:r w:rsidRPr="001B3A93">
        <w:rPr>
          <w:u w:color="000000" w:themeColor="text1"/>
        </w:rPr>
        <w:tab/>
        <w:t>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as injunctive relief, nonmonetary payment, the provision of goods or services or other in kind terms, or a combination of these, the Attorney General or circuit solicitor shall determine the monetary value to the State;</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(9)</w:t>
      </w:r>
      <w:r w:rsidRPr="001B3A93">
        <w:rPr>
          <w:u w:color="000000" w:themeColor="text1"/>
        </w:rPr>
        <w:tab/>
        <w:t>outside counsel must be reimbursed solely from the gross recovery of the litigation or other matter for which outside counsel has been retained as approved by the Attorney General or circuit solicitor for reasonable expenses and costs.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snapToGrid w:val="0"/>
          <w:szCs w:val="24"/>
          <w:u w:color="000000" w:themeColor="text1"/>
        </w:rPr>
        <w:t>(a)</w:t>
      </w:r>
      <w:r w:rsidRPr="001B3A93">
        <w:rPr>
          <w:snapToGrid w:val="0"/>
          <w:szCs w:val="24"/>
          <w:u w:color="000000" w:themeColor="text1"/>
        </w:rPr>
        <w:tab/>
        <w:t xml:space="preserve">outside counsel must be reimbursed for the retention of experts, including fees and other reasonable costs, only when expressly authorized by the Attorney General or </w:t>
      </w:r>
      <w:r w:rsidRPr="001B3A93">
        <w:rPr>
          <w:u w:color="000000" w:themeColor="text1"/>
        </w:rPr>
        <w:t>circuit</w:t>
      </w:r>
      <w:r w:rsidRPr="001B3A93">
        <w:rPr>
          <w:snapToGrid w:val="0"/>
          <w:szCs w:val="24"/>
          <w:u w:color="000000" w:themeColor="text1"/>
        </w:rPr>
        <w:t xml:space="preserve"> solicitor;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bCs/>
          <w:snapToGrid w:val="0"/>
          <w:szCs w:val="24"/>
          <w:u w:color="000000" w:themeColor="text1"/>
        </w:rPr>
        <w:tab/>
      </w:r>
      <w:r w:rsidRPr="001B3A93">
        <w:rPr>
          <w:bCs/>
          <w:snapToGrid w:val="0"/>
          <w:szCs w:val="24"/>
          <w:u w:color="000000" w:themeColor="text1"/>
        </w:rPr>
        <w:tab/>
      </w:r>
      <w:r w:rsidRPr="001B3A93">
        <w:rPr>
          <w:bCs/>
          <w:snapToGrid w:val="0"/>
          <w:szCs w:val="24"/>
          <w:u w:color="000000" w:themeColor="text1"/>
        </w:rPr>
        <w:tab/>
        <w:t>(b)</w:t>
      </w:r>
      <w:r w:rsidRPr="001B3A93">
        <w:rPr>
          <w:bCs/>
          <w:snapToGrid w:val="0"/>
          <w:szCs w:val="24"/>
          <w:u w:color="000000" w:themeColor="text1"/>
        </w:rPr>
        <w:tab/>
        <w:t>for reimbursements of expenses for lodging, travel, or mileage, r</w:t>
      </w:r>
      <w:r w:rsidRPr="001B3A93">
        <w:rPr>
          <w:snapToGrid w:val="0"/>
          <w:szCs w:val="24"/>
          <w:u w:color="000000" w:themeColor="text1"/>
        </w:rPr>
        <w:t xml:space="preserve">eceipts are required and these expenses must be expressly authorized in advance by the Attorney General or </w:t>
      </w:r>
      <w:r w:rsidRPr="001B3A93">
        <w:rPr>
          <w:u w:color="000000" w:themeColor="text1"/>
        </w:rPr>
        <w:t>circuit</w:t>
      </w:r>
      <w:r w:rsidRPr="001B3A93">
        <w:rPr>
          <w:snapToGrid w:val="0"/>
          <w:szCs w:val="24"/>
          <w:u w:color="000000" w:themeColor="text1"/>
        </w:rPr>
        <w:t xml:space="preserve"> solicitor; and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snapToGrid w:val="0"/>
          <w:szCs w:val="24"/>
          <w:u w:color="000000" w:themeColor="text1"/>
        </w:rPr>
        <w:tab/>
      </w:r>
      <w:r w:rsidRPr="001B3A93">
        <w:rPr>
          <w:snapToGrid w:val="0"/>
          <w:szCs w:val="24"/>
          <w:u w:color="000000" w:themeColor="text1"/>
        </w:rPr>
        <w:tab/>
        <w:t>(10)</w:t>
      </w:r>
      <w:r w:rsidRPr="001B3A93">
        <w:rPr>
          <w:snapToGrid w:val="0"/>
          <w:szCs w:val="24"/>
          <w:u w:color="000000" w:themeColor="text1"/>
        </w:rPr>
        <w:tab/>
        <w:t xml:space="preserve">outside counsel may not speak to any representative of a television station, radio station, newspaper, magazine, or other media outlet concerning the work outlined or contemplated in the contract of retention without first obtaining approval of the Attorney General or </w:t>
      </w:r>
      <w:r w:rsidRPr="001B3A93">
        <w:rPr>
          <w:u w:color="000000" w:themeColor="text1"/>
        </w:rPr>
        <w:t>circuit</w:t>
      </w:r>
      <w:r w:rsidRPr="001B3A93">
        <w:rPr>
          <w:snapToGrid w:val="0"/>
          <w:szCs w:val="24"/>
          <w:u w:color="000000" w:themeColor="text1"/>
        </w:rPr>
        <w:t xml:space="preserve"> solicitor.  Outside counsel is specifically prohibited from speaking on behalf of the Attorney General or </w:t>
      </w:r>
      <w:r w:rsidRPr="001B3A93">
        <w:rPr>
          <w:u w:color="000000" w:themeColor="text1"/>
        </w:rPr>
        <w:t>circuit</w:t>
      </w:r>
      <w:r w:rsidRPr="001B3A93">
        <w:rPr>
          <w:snapToGrid w:val="0"/>
          <w:szCs w:val="24"/>
          <w:u w:color="000000" w:themeColor="text1"/>
        </w:rPr>
        <w:t xml:space="preserve"> solicitor or the State of South Carolina to any representative of the news media.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sidRPr="001B3A93">
        <w:rPr>
          <w:snapToGrid w:val="0"/>
          <w:szCs w:val="24"/>
          <w:u w:color="000000" w:themeColor="text1"/>
        </w:rPr>
        <w:tab/>
        <w:t>Section 1</w:t>
      </w:r>
      <w:r w:rsidRPr="001B3A93">
        <w:rPr>
          <w:snapToGrid w:val="0"/>
          <w:szCs w:val="24"/>
          <w:u w:color="000000" w:themeColor="text1"/>
        </w:rPr>
        <w:noBreakHyphen/>
        <w:t>7</w:t>
      </w:r>
      <w:r w:rsidRPr="001B3A93">
        <w:rPr>
          <w:snapToGrid w:val="0"/>
          <w:szCs w:val="24"/>
          <w:u w:color="000000" w:themeColor="text1"/>
        </w:rPr>
        <w:noBreakHyphen/>
        <w:t>760.</w:t>
      </w:r>
      <w:r w:rsidRPr="001B3A93">
        <w:rPr>
          <w:snapToGrid w:val="0"/>
          <w:szCs w:val="24"/>
          <w:u w:color="000000" w:themeColor="text1"/>
        </w:rPr>
        <w:tab/>
      </w:r>
      <w:r w:rsidRPr="001B3A93">
        <w:rPr>
          <w:bCs/>
          <w:snapToGrid w:val="0"/>
          <w:u w:color="000000" w:themeColor="text1"/>
        </w:rPr>
        <w:t>The provisions of Section 1</w:t>
      </w:r>
      <w:r w:rsidRPr="001B3A93">
        <w:rPr>
          <w:bCs/>
          <w:snapToGrid w:val="0"/>
          <w:u w:color="000000" w:themeColor="text1"/>
        </w:rPr>
        <w:noBreakHyphen/>
        <w:t>7</w:t>
      </w:r>
      <w:r w:rsidRPr="001B3A93">
        <w:rPr>
          <w:bCs/>
          <w:snapToGrid w:val="0"/>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Pr="001B3A93">
        <w:rPr>
          <w:bCs/>
          <w:snapToGrid w:val="0"/>
          <w:u w:color="000000" w:themeColor="text1"/>
        </w:rPr>
        <w:noBreakHyphen/>
        <w:t>7</w:t>
      </w:r>
      <w:r w:rsidRPr="001B3A93">
        <w:rPr>
          <w:bCs/>
          <w:snapToGrid w:val="0"/>
          <w:u w:color="000000" w:themeColor="text1"/>
        </w:rPr>
        <w:noBreakHyphen/>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Pr="001B3A93">
        <w:rPr>
          <w:bCs/>
          <w:snapToGrid w:val="0"/>
          <w:u w:color="000000" w:themeColor="text1"/>
        </w:rPr>
        <w:noBreakHyphen/>
        <w:t>7</w:t>
      </w:r>
      <w:r w:rsidRPr="001B3A93">
        <w:rPr>
          <w:bCs/>
          <w:snapToGrid w:val="0"/>
          <w:u w:color="000000" w:themeColor="text1"/>
        </w:rPr>
        <w:noBreakHyphen/>
        <w:t>750 that he intends to depart from and must delineate the exceptional circumstances that he finds exists as they relate to each provision.  This information is considered public information and is subject to disclosure pursuant to the Freedom of Information Act as provided in Chapter 4, Title 30.”</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4.</w:t>
      </w: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 of the 1976 Code is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w:t>
      </w:r>
      <w:r w:rsidRPr="001B3A93">
        <w:rPr>
          <w:szCs w:val="18"/>
          <w:u w:color="000000" w:themeColor="text1"/>
        </w:rPr>
        <w:tab/>
      </w:r>
      <w:r w:rsidRPr="001B3A93">
        <w:rPr>
          <w:szCs w:val="18"/>
          <w:u w:color="000000" w:themeColor="text1"/>
        </w:rPr>
        <w:tab/>
      </w:r>
      <w:r w:rsidRPr="001B3A93">
        <w:rPr>
          <w:szCs w:val="18"/>
          <w:u w:val="single" w:color="000000" w:themeColor="text1"/>
        </w:rPr>
        <w:t>(A)</w:t>
      </w:r>
      <w:r w:rsidRPr="001B3A93">
        <w:rPr>
          <w:szCs w:val="18"/>
          <w:u w:color="000000" w:themeColor="text1"/>
        </w:rPr>
        <w:tab/>
      </w:r>
      <w:r w:rsidRPr="001B3A93">
        <w:rPr>
          <w:u w:color="000000" w:themeColor="text1"/>
        </w:rPr>
        <w:t>The limitation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may not be asserted as a defense by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1B3A93">
        <w:rPr>
          <w:strike/>
          <w:u w:color="000000" w:themeColor="text1"/>
        </w:rPr>
        <w:t>such</w:t>
      </w:r>
      <w:r w:rsidRPr="001B3A93">
        <w:rPr>
          <w:u w:color="000000" w:themeColor="text1"/>
        </w:rPr>
        <w:t xml:space="preserve"> </w:t>
      </w:r>
      <w:r w:rsidRPr="001B3A93">
        <w:rPr>
          <w:u w:val="single" w:color="000000" w:themeColor="text1"/>
        </w:rPr>
        <w:t>the</w:t>
      </w:r>
      <w:r w:rsidRPr="001B3A93">
        <w:rPr>
          <w:u w:color="000000" w:themeColor="text1"/>
        </w:rPr>
        <w:t xml:space="preserve"> person in actual possession or control knows, or reasonably should have known, of the defective or unsafe condition.  The limitations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are not available as a defense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who conceals any such cause of action.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(B)</w:t>
      </w:r>
      <w:r w:rsidRPr="001B3A93">
        <w:rPr>
          <w:u w:color="000000" w:themeColor="text1"/>
        </w:rPr>
        <w:tab/>
      </w:r>
      <w:r w:rsidRPr="001B3A93">
        <w:rPr>
          <w:u w:val="single" w:color="000000" w:themeColor="text1"/>
        </w:rPr>
        <w:t xml:space="preserve">For the purposes of subsection (A), the violation of a building code of a jurisdiction or political subdivision does not constitute per se fraud, gross negligence, or recklessness </w:t>
      </w:r>
      <w:r w:rsidRPr="001B3A93">
        <w:rPr>
          <w:bCs/>
          <w:u w:val="single" w:color="000000" w:themeColor="text1"/>
        </w:rPr>
        <w:t>but this type of violation may be admissible as evidence of fraud, negligence, gross negligence, or recklessness</w:t>
      </w:r>
      <w:r w:rsidRPr="001B3A93">
        <w:rPr>
          <w:u w:val="single" w:color="000000" w:themeColor="text1"/>
        </w:rPr>
        <w: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(C)</w:t>
      </w:r>
      <w:r w:rsidRPr="001B3A93">
        <w:rPr>
          <w:u w:color="000000" w:themeColor="text1"/>
        </w:rPr>
        <w:tab/>
        <w:t>The limitation provided by Section 15</w:t>
      </w:r>
      <w:r w:rsidRPr="001B3A93">
        <w:rPr>
          <w:u w:color="000000" w:themeColor="text1"/>
        </w:rPr>
        <w:noBreakHyphen/>
        <w:t>3</w:t>
      </w:r>
      <w:r w:rsidRPr="001B3A93">
        <w:rPr>
          <w:u w:color="000000" w:themeColor="text1"/>
        </w:rPr>
        <w:noBreakHyphen/>
        <w:t xml:space="preserve">640 may not be asserted as a defense to </w:t>
      </w:r>
      <w:r w:rsidRPr="001B3A93">
        <w:rPr>
          <w:strike/>
          <w:u w:color="000000" w:themeColor="text1"/>
        </w:rPr>
        <w:t>any</w:t>
      </w:r>
      <w:r w:rsidRPr="001B3A93">
        <w:rPr>
          <w:u w:color="000000" w:themeColor="text1"/>
        </w:rPr>
        <w:t xml:space="preserve"> </w:t>
      </w:r>
      <w:r w:rsidRPr="001B3A93">
        <w:rPr>
          <w:u w:val="single" w:color="000000" w:themeColor="text1"/>
        </w:rPr>
        <w:t>an</w:t>
      </w:r>
      <w:r w:rsidRPr="001B3A93">
        <w:rPr>
          <w:u w:color="000000" w:themeColor="text1"/>
        </w:rPr>
        <w:t xml:space="preserve"> action for personal injury, including a personal injury resulting in death, or property damage which is</w:t>
      </w:r>
      <w:r w:rsidRPr="001B3A93">
        <w:rPr>
          <w:u w:val="single" w:color="000000" w:themeColor="text1"/>
        </w:rPr>
        <w: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w:t>
      </w:r>
      <w:r w:rsidRPr="001B3A93">
        <w:rPr>
          <w:u w:val="single" w:color="000000" w:themeColor="text1"/>
        </w:rPr>
        <w:t>(1)</w:t>
      </w:r>
      <w:r w:rsidRPr="001B3A93">
        <w:rPr>
          <w:u w:color="000000" w:themeColor="text1"/>
        </w:rPr>
        <w:tab/>
        <w:t>by its nature not discoverable in the exercise of reasonable diligence at the time of its occurrence</w:t>
      </w:r>
      <w:r w:rsidRPr="001B3A93">
        <w:rPr>
          <w:u w:val="single" w:color="000000" w:themeColor="text1"/>
        </w:rPr>
        <w:t>;</w:t>
      </w:r>
      <w:r w:rsidRPr="001B3A93">
        <w:rPr>
          <w:u w:color="000000" w:themeColor="text1"/>
        </w:rPr>
        <w:t xml:space="preserve"> and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(ii)</w:t>
      </w:r>
      <w:r w:rsidRPr="001B3A93">
        <w:rPr>
          <w:u w:val="single" w:color="000000" w:themeColor="text1"/>
        </w:rPr>
        <w:t>(2)</w:t>
      </w:r>
      <w:r>
        <w:rPr>
          <w:u w:color="000000" w:themeColor="text1"/>
        </w:rPr>
        <w:tab/>
      </w:r>
      <w:r w:rsidRPr="001B3A93">
        <w:rPr>
          <w:u w:color="000000" w:themeColor="text1"/>
        </w:rPr>
        <w:t>the result of ingestion of or exposure to some toxic or harmful or injury producing substance, element, or particle, including radiation, over a period of time as opposed to resulting from a sudden and fortuitous trauma.”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5.</w:t>
      </w:r>
      <w:r w:rsidRPr="001B3A93">
        <w:rPr>
          <w:szCs w:val="18"/>
          <w:u w:color="000000" w:themeColor="text1"/>
        </w:rPr>
        <w:tab/>
        <w:t>Section 18</w:t>
      </w:r>
      <w:r w:rsidRPr="001B3A93">
        <w:rPr>
          <w:szCs w:val="18"/>
          <w:u w:color="000000" w:themeColor="text1"/>
        </w:rPr>
        <w:noBreakHyphen/>
        <w:t>9</w:t>
      </w:r>
      <w:r w:rsidRPr="001B3A93">
        <w:rPr>
          <w:szCs w:val="18"/>
          <w:u w:color="000000" w:themeColor="text1"/>
        </w:rPr>
        <w:noBreakHyphen/>
        <w:t>130(A)(1) of the 1976 Code, as last amended by Act 216 of 2004, is further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szCs w:val="18"/>
          <w:u w:color="000000" w:themeColor="text1"/>
        </w:rPr>
        <w:tab/>
        <w:t>“</w:t>
      </w:r>
      <w:r w:rsidRPr="001B3A93">
        <w:rPr>
          <w:rFonts w:eastAsiaTheme="minorEastAsia"/>
          <w:szCs w:val="24"/>
          <w:u w:color="000000" w:themeColor="text1"/>
        </w:rPr>
        <w:t>(1)</w:t>
      </w:r>
      <w:r w:rsidRPr="001B3A93">
        <w:rPr>
          <w:rFonts w:eastAsiaTheme="minorEastAsia"/>
          <w:szCs w:val="24"/>
          <w:u w:color="000000" w:themeColor="text1"/>
        </w:rPr>
        <w:tab/>
        <w:t xml:space="preserve">A notice of appeal from a judgment directing the payment of money does not stay the execution of the judgment unless the presiding judge before whom the judgment was obtained grants a stay of execution.  </w:t>
      </w:r>
      <w:r w:rsidRPr="001B3A93">
        <w:rPr>
          <w:rFonts w:eastAsiaTheme="minorEastAsia"/>
          <w:szCs w:val="24"/>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(a)</w:t>
      </w:r>
      <w:r w:rsidRPr="001B3A93">
        <w:rPr>
          <w:rFonts w:eastAsiaTheme="minorEastAsia"/>
          <w:szCs w:val="24"/>
          <w:u w:color="000000" w:themeColor="text1"/>
        </w:rPr>
        <w:tab/>
      </w:r>
      <w:r w:rsidRPr="001B3A93">
        <w:rPr>
          <w:rFonts w:eastAsiaTheme="minorEastAsia"/>
          <w:szCs w:val="24"/>
          <w:u w:val="single" w:color="000000" w:themeColor="text1"/>
        </w:rPr>
        <w:t>twenty</w:t>
      </w:r>
      <w:r w:rsidRPr="001B3A93">
        <w:rPr>
          <w:rFonts w:eastAsiaTheme="minorEastAsia"/>
          <w:szCs w:val="24"/>
          <w:u w:val="single" w:color="000000" w:themeColor="text1"/>
        </w:rPr>
        <w:noBreakHyphen/>
        <w:t>five million dollars, whichever is less, for a business entity that employs more than fifty persons and has gross revenues exceeding five million dollars for the previous tax year; or</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(b)</w:t>
      </w:r>
      <w:r w:rsidRPr="001B3A93">
        <w:rPr>
          <w:rFonts w:eastAsiaTheme="minorEastAsia"/>
          <w:szCs w:val="24"/>
          <w:u w:color="000000" w:themeColor="text1"/>
        </w:rPr>
        <w:tab/>
      </w:r>
      <w:r w:rsidRPr="001B3A93">
        <w:rPr>
          <w:rFonts w:eastAsiaTheme="minorEastAsia"/>
          <w:szCs w:val="24"/>
          <w:u w:val="single" w:color="000000" w:themeColor="text1"/>
        </w:rPr>
        <w:t>one million dollars, whichever is less, for all other entities or individuals.</w:t>
      </w:r>
      <w:r w:rsidRPr="001B3A93">
        <w:rPr>
          <w:rFonts w:eastAsiaTheme="minorEastAsia"/>
          <w:szCs w:val="24"/>
          <w:u w:color="000000" w:themeColor="text1"/>
        </w:rPr>
        <w: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6.</w:t>
      </w:r>
      <w:r w:rsidRPr="001B3A93">
        <w:rPr>
          <w:szCs w:val="18"/>
          <w:u w:color="000000" w:themeColor="text1"/>
        </w:rPr>
        <w:tab/>
        <w:t>Section 56</w:t>
      </w:r>
      <w:r w:rsidRPr="001B3A93">
        <w:rPr>
          <w:szCs w:val="18"/>
          <w:u w:color="000000" w:themeColor="text1"/>
        </w:rPr>
        <w:noBreakHyphen/>
        <w:t>5</w:t>
      </w:r>
      <w:r w:rsidRPr="001B3A93">
        <w:rPr>
          <w:szCs w:val="18"/>
          <w:u w:color="000000" w:themeColor="text1"/>
        </w:rPr>
        <w:noBreakHyphen/>
        <w:t>6540 of the 1976 Code, as last amended by Act 147 of 2005, is further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rPr>
          <w:u w:color="000000" w:themeColor="text1"/>
        </w:rPr>
        <w:tab/>
        <w:t>“Section 56-5-6540.</w:t>
      </w:r>
      <w:r w:rsidRPr="001B3A93">
        <w:rPr>
          <w:u w:color="000000" w:themeColor="text1"/>
        </w:rPr>
        <w:tab/>
      </w:r>
      <w:r w:rsidRPr="001B3A93">
        <w:t>(A)</w:t>
      </w:r>
      <w:r w:rsidRPr="001B3A93">
        <w:tab/>
        <w:t>A person who is adjudicated to be in violation of the provisions of this article must be fined not more than twenty</w:t>
      </w:r>
      <w:r w:rsidRPr="001B3A93">
        <w:noBreakHyphen/>
        <w:t xml:space="preserve">five dollars, no part of which may be suspended.  </w:t>
      </w:r>
      <w:r w:rsidRPr="001B3A93">
        <w:rPr>
          <w:strike/>
        </w:rPr>
        <w:t>No</w:t>
      </w:r>
      <w:r w:rsidRPr="001B3A93">
        <w:t xml:space="preserve"> Court costs, assessments, or surcharges may </w:t>
      </w:r>
      <w:r w:rsidRPr="001B3A93">
        <w:rPr>
          <w:u w:val="single"/>
        </w:rPr>
        <w:t>not</w:t>
      </w:r>
      <w:r w:rsidRPr="001B3A93">
        <w:t xml:space="preserve"> be assessed against a person who violates a provision of this article.  A person </w:t>
      </w:r>
      <w:r w:rsidRPr="001B3A93">
        <w:rPr>
          <w:strike/>
        </w:rPr>
        <w:t>must</w:t>
      </w:r>
      <w:r w:rsidRPr="001B3A93">
        <w:t xml:space="preserve"> </w:t>
      </w:r>
      <w:r w:rsidRPr="001B3A93">
        <w:rPr>
          <w:u w:val="single"/>
        </w:rPr>
        <w:t>may</w:t>
      </w:r>
      <w:r w:rsidRPr="001B3A93">
        <w:t xml:space="preserve"> not be fined more than fifty dollars for any one incident of one or more violations of the provisions of this article.  A custodial arrest for a violation of this article </w:t>
      </w:r>
      <w:r w:rsidRPr="001B3A93">
        <w:rPr>
          <w:strike/>
        </w:rPr>
        <w:t>must</w:t>
      </w:r>
      <w:r w:rsidRPr="001B3A93">
        <w:t xml:space="preserve"> </w:t>
      </w:r>
      <w:r w:rsidRPr="001B3A93">
        <w:rPr>
          <w:u w:val="single"/>
        </w:rPr>
        <w:t>may</w:t>
      </w:r>
      <w:r w:rsidRPr="001B3A93">
        <w:t xml:space="preserve"> not be made, except upon a warrant issued for failure to appear in court when summoned or for failure to pay an imposed fine.  A violation of this article does not constitute a criminal offense.  Notwithstanding </w:t>
      </w:r>
      <w:r w:rsidRPr="001B3A93">
        <w:rPr>
          <w:u w:val="single"/>
        </w:rPr>
        <w:t>the provisions of</w:t>
      </w:r>
      <w:r w:rsidRPr="001B3A93">
        <w:t xml:space="preserve"> Section 56</w:t>
      </w:r>
      <w:r w:rsidRPr="001B3A93">
        <w:noBreakHyphen/>
        <w:t>1</w:t>
      </w:r>
      <w:r w:rsidRPr="001B3A93">
        <w:noBreakHyphen/>
        <w:t xml:space="preserve">640, a violation of this article </w:t>
      </w:r>
      <w:r w:rsidRPr="001B3A93">
        <w:rPr>
          <w:strike/>
        </w:rPr>
        <w:t>must</w:t>
      </w:r>
      <w:r w:rsidRPr="001B3A93">
        <w:t xml:space="preserve"> </w:t>
      </w:r>
      <w:r w:rsidRPr="001B3A93">
        <w:rPr>
          <w:u w:val="single"/>
        </w:rPr>
        <w:t>may</w:t>
      </w:r>
      <w:r w:rsidRPr="001B3A93">
        <w:t xml:space="preserve"> not be: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(1)</w:t>
      </w:r>
      <w:r w:rsidRPr="001B3A93">
        <w:tab/>
        <w:t xml:space="preserve">included in the offender’s motor vehicle records maintained by the Department of Motor Vehicles or in the criminal records maintained by SLED; or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(2)</w:t>
      </w:r>
      <w:r w:rsidRPr="001B3A93">
        <w:tab/>
        <w:t xml:space="preserve">reported to the offender’s motor vehicle insurer.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t>(B)</w:t>
      </w:r>
      <w:r w:rsidRPr="001B3A93">
        <w:tab/>
        <w:t xml:space="preserve">A law enforcement officer </w:t>
      </w:r>
      <w:r w:rsidRPr="001B3A93">
        <w:rPr>
          <w:strike/>
        </w:rPr>
        <w:t>must</w:t>
      </w:r>
      <w:r w:rsidRPr="001B3A93">
        <w:t xml:space="preserve"> </w:t>
      </w:r>
      <w:r w:rsidRPr="001B3A93">
        <w:rPr>
          <w:u w:val="single"/>
        </w:rPr>
        <w:t>may</w:t>
      </w:r>
      <w:r w:rsidRPr="001B3A93">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w:t>
      </w:r>
      <w:r w:rsidRPr="001B3A93">
        <w:rPr>
          <w:strike/>
        </w:rPr>
        <w:t>shall</w:t>
      </w:r>
      <w:r w:rsidRPr="001B3A93">
        <w:t xml:space="preserve"> </w:t>
      </w:r>
      <w:r w:rsidRPr="001B3A93">
        <w:rPr>
          <w:u w:val="single"/>
        </w:rPr>
        <w:t>must</w:t>
      </w:r>
      <w:r w:rsidRPr="001B3A93">
        <w:t xml:space="preserve"> be required to buckle up before departing the checkpoint and should the driver or the passenger refuse, then the person refusing may be charged with a primary violation.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A93">
        <w:tab/>
        <w:t>(C)</w:t>
      </w:r>
      <w:r w:rsidRPr="001B3A93">
        <w:tab/>
      </w:r>
      <w:r w:rsidRPr="001B3A93">
        <w:rPr>
          <w:strike/>
        </w:rPr>
        <w:t xml:space="preserve">A violation of this article is not negligence per se or contributory negligence, and is not admissible as evidence in a civil action.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(D)</w:t>
      </w:r>
      <w:r w:rsidRPr="001B3A93">
        <w:tab/>
        <w:t xml:space="preserve">A vehicle, driver, or occupant in a vehicle </w:t>
      </w:r>
      <w:r w:rsidRPr="001B3A93">
        <w:rPr>
          <w:strike/>
        </w:rPr>
        <w:t>must</w:t>
      </w:r>
      <w:r w:rsidRPr="001B3A93">
        <w:t xml:space="preserve"> </w:t>
      </w:r>
      <w:r w:rsidRPr="001B3A93">
        <w:rPr>
          <w:u w:val="single"/>
        </w:rPr>
        <w:t>may</w:t>
      </w:r>
      <w:r w:rsidRPr="001B3A93">
        <w:t xml:space="preserve"> not be searched, nor may consent to search be requested by a law enforcement officer, solely because of a violation of this article.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(E)</w:t>
      </w:r>
      <w:r w:rsidRPr="001B3A93">
        <w:rPr>
          <w:u w:val="single"/>
        </w:rPr>
        <w:t>(D)</w:t>
      </w:r>
      <w:r w:rsidRPr="001B3A93">
        <w:tab/>
        <w:t xml:space="preserve">A law enforcement officer </w:t>
      </w:r>
      <w:r w:rsidRPr="001B3A93">
        <w:rPr>
          <w:strike/>
        </w:rPr>
        <w:t>must</w:t>
      </w:r>
      <w:r w:rsidRPr="001B3A93">
        <w:t xml:space="preserve"> </w:t>
      </w:r>
      <w:r w:rsidRPr="001B3A93">
        <w:rPr>
          <w:u w:val="single"/>
        </w:rPr>
        <w:t>may</w:t>
      </w:r>
      <w:r w:rsidRPr="001B3A93">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1B3A93">
        <w:rPr>
          <w:strike/>
        </w:rPr>
        <w:t>of this chapter</w:t>
      </w:r>
      <w:r w:rsidRPr="001B3A93">
        <w:t xml:space="preserv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(F)</w:t>
      </w:r>
      <w:r w:rsidRPr="001B3A93">
        <w:rPr>
          <w:u w:val="single"/>
        </w:rPr>
        <w:t>(E)</w:t>
      </w:r>
      <w:r w:rsidRPr="001B3A93">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635C18">
        <w:rPr>
          <w:u w:val="single"/>
        </w:rPr>
        <w:t xml:space="preserve">the provisions of </w:t>
      </w:r>
      <w:r w:rsidRPr="001B3A93">
        <w:t>Section 56</w:t>
      </w:r>
      <w:r w:rsidRPr="001B3A93">
        <w:noBreakHyphen/>
        <w:t>5</w:t>
      </w:r>
      <w:r w:rsidRPr="001B3A93">
        <w:noBreakHyphen/>
        <w:t xml:space="preserve">6540.  If the trier of fact determines that the State has failed to prove beyond a reasonable doubt that the person was not wearing a safety belt, no penalty </w:t>
      </w:r>
      <w:r w:rsidRPr="001B3A93">
        <w:rPr>
          <w:strike/>
        </w:rPr>
        <w:t>shall</w:t>
      </w:r>
      <w:r w:rsidRPr="001B3A93">
        <w:t xml:space="preserve"> </w:t>
      </w:r>
      <w:r w:rsidRPr="001B3A93">
        <w:rPr>
          <w:u w:val="single"/>
        </w:rPr>
        <w:t>may</w:t>
      </w:r>
      <w:r w:rsidRPr="001B3A93">
        <w:t xml:space="preserve"> be assessed.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tab/>
      </w:r>
      <w:r w:rsidRPr="001B3A93">
        <w:rPr>
          <w:strike/>
        </w:rPr>
        <w:t>(G)</w:t>
      </w:r>
      <w:r w:rsidRPr="001B3A93">
        <w:rPr>
          <w:u w:val="single"/>
        </w:rPr>
        <w:t>(F)</w:t>
      </w:r>
      <w:r w:rsidRPr="001B3A93">
        <w:tab/>
        <w:t>A person found to be in violation of this article may bring an appeal to the court of common pleas pursuant to Section 18</w:t>
      </w:r>
      <w:r w:rsidRPr="001B3A93">
        <w:noBreakHyphen/>
        <w:t>3</w:t>
      </w:r>
      <w:r w:rsidRPr="001B3A93">
        <w:noBreakHyphen/>
        <w:t>10 or Section 14</w:t>
      </w:r>
      <w:r w:rsidRPr="001B3A93">
        <w:noBreakHyphen/>
        <w:t>25</w:t>
      </w:r>
      <w:r w:rsidRPr="001B3A93">
        <w:noBreakHyphen/>
        <w:t>95.”</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7.</w:t>
      </w:r>
      <w:r w:rsidRPr="001B3A9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8.</w:t>
      </w:r>
      <w:r w:rsidRPr="001B3A9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9.</w:t>
      </w:r>
      <w:r w:rsidRPr="001B3A93">
        <w:rPr>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3A93">
        <w:rPr>
          <w:u w:color="000000" w:themeColor="text1"/>
        </w:rPr>
        <w:t>SECTION</w:t>
      </w:r>
      <w:r w:rsidRPr="001B3A93">
        <w:rPr>
          <w:u w:color="000000" w:themeColor="text1"/>
        </w:rPr>
        <w:tab/>
        <w:t>10.</w:t>
      </w:r>
      <w:r w:rsidRPr="001B3A93">
        <w:rPr>
          <w:u w:color="000000" w:themeColor="text1"/>
        </w:rPr>
        <w:tab/>
        <w:t>This act takes effect July 1, 201</w:t>
      </w:r>
      <w:r>
        <w:rPr>
          <w:u w:color="000000" w:themeColor="text1"/>
        </w:rPr>
        <w:t>1</w:t>
      </w:r>
      <w:r w:rsidRPr="001B3A93">
        <w:rPr>
          <w:u w:color="000000" w:themeColor="text1"/>
        </w:rPr>
        <w:t>, and applies to all actions filed on or after this date.</w:t>
      </w:r>
    </w:p>
    <w:p w:rsidR="005F7E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7E30" w:rsidRDefault="005F7E30" w:rsidP="00C009F2">
      <w:pPr>
        <w:suppressAutoHyphens/>
      </w:pPr>
    </w:p>
    <w:sectPr w:rsidR="005F7E30" w:rsidSect="003832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2C0" w:rsidRDefault="00D972C0" w:rsidP="009F0C77">
      <w:r>
        <w:separator/>
      </w:r>
    </w:p>
  </w:endnote>
  <w:endnote w:type="continuationSeparator" w:id="0">
    <w:p w:rsidR="00D972C0" w:rsidRDefault="00D972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BBD4DA-21EC-45CA-8CC4-60FC758672D3}"/>
    <w:embedBold r:id="rId2" w:fontKey="{A343086E-B20B-407F-BDAD-50C0F4FF3054}"/>
  </w:font>
  <w:font w:name="Calibri">
    <w:panose1 w:val="020F0502020204030204"/>
    <w:charset w:val="00"/>
    <w:family w:val="swiss"/>
    <w:pitch w:val="variable"/>
    <w:sig w:usb0="A00002EF" w:usb1="4000207B" w:usb2="00000000" w:usb3="00000000" w:csb0="0000009F" w:csb1="00000000"/>
    <w:embedRegular r:id="rId3" w:fontKey="{93A802E2-ACC0-414E-82D7-BFF3CCA0EF57}"/>
  </w:font>
  <w:font w:name="Tahoma">
    <w:panose1 w:val="020B0604030504040204"/>
    <w:charset w:val="00"/>
    <w:family w:val="swiss"/>
    <w:pitch w:val="variable"/>
    <w:sig w:usb0="61002A87" w:usb1="80000000" w:usb2="00000008" w:usb3="00000000" w:csb0="000101FF" w:csb1="00000000"/>
    <w:embedRegular r:id="rId4" w:fontKey="{6F732A64-C391-4C68-9C06-1BBCE9EEA2FA}"/>
  </w:font>
  <w:font w:name="Cambria">
    <w:panose1 w:val="02040503050406030204"/>
    <w:charset w:val="00"/>
    <w:family w:val="roman"/>
    <w:pitch w:val="variable"/>
    <w:sig w:usb0="A00002EF" w:usb1="4000004B" w:usb2="00000000" w:usb3="00000000" w:csb0="0000009F" w:csb1="00000000"/>
    <w:embedRegular r:id="rId5" w:fontKey="{66A80FC6-EBB6-4BC1-BB72-7122BB184F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4D0" w:rsidRPr="005F7E30" w:rsidRDefault="005F7E30" w:rsidP="005F7E30">
    <w:pPr>
      <w:pStyle w:val="Footer"/>
      <w:tabs>
        <w:tab w:val="clear" w:pos="4680"/>
        <w:tab w:val="clear" w:pos="9360"/>
        <w:tab w:val="center" w:pos="2995"/>
      </w:tabs>
      <w:spacing w:before="120"/>
    </w:pPr>
    <w:r>
      <w:t>[3375</w:t>
    </w:r>
    <w:r w:rsidR="003832C8">
      <w:t>-</w:t>
    </w:r>
    <w:fldSimple w:instr=" PAGE  \* MERGEFORMAT ">
      <w:r w:rsidR="00C009F2">
        <w:rPr>
          <w:noProof/>
        </w:rPr>
        <w:t>1</w:t>
      </w:r>
    </w:fldSimple>
    <w:r w:rsidR="003832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2C8" w:rsidRPr="005F7E30" w:rsidRDefault="003832C8" w:rsidP="005F7E30">
    <w:pPr>
      <w:pStyle w:val="Footer"/>
      <w:tabs>
        <w:tab w:val="clear" w:pos="4680"/>
        <w:tab w:val="clear" w:pos="9360"/>
        <w:tab w:val="center" w:pos="2995"/>
      </w:tabs>
      <w:spacing w:before="120"/>
    </w:pPr>
    <w:r>
      <w:t>[3375]</w:t>
    </w:r>
    <w:r>
      <w:tab/>
    </w:r>
    <w:fldSimple w:instr=" PAGE  \* MERGEFORMAT ">
      <w:r w:rsidR="00C009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2C0" w:rsidRDefault="00D972C0" w:rsidP="009F0C77">
      <w:r>
        <w:separator/>
      </w:r>
    </w:p>
  </w:footnote>
  <w:footnote w:type="continuationSeparator" w:id="0">
    <w:p w:rsidR="00D972C0" w:rsidRDefault="00D972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5AHB11"/>
    <w:docVar w:name="CoverBillType" w:val="b"/>
    <w:docVar w:name="docpath" w:val="L:\Council\bills\MS\7075AHB11.DOCX"/>
    <w:docVar w:name="dvBillNumber" w:val="3375"/>
    <w:docVar w:name="dvBillNumberPrefix" w:val="H. "/>
    <w:docVar w:name="dvOriginalBody" w:val="House"/>
    <w:docVar w:name="dvSteno" w:val="MS"/>
    <w:docVar w:name="NameofBody" w:val="h"/>
    <w:docVar w:name="vgroup2" w:val="Council"/>
  </w:docVars>
  <w:rsids>
    <w:rsidRoot w:val="0040727C"/>
    <w:rsid w:val="00011869"/>
    <w:rsid w:val="00083F13"/>
    <w:rsid w:val="000E0106"/>
    <w:rsid w:val="000E1785"/>
    <w:rsid w:val="000F40FA"/>
    <w:rsid w:val="0010776B"/>
    <w:rsid w:val="00133E66"/>
    <w:rsid w:val="001435A3"/>
    <w:rsid w:val="001D08F2"/>
    <w:rsid w:val="001D525B"/>
    <w:rsid w:val="001D7F4F"/>
    <w:rsid w:val="001E4030"/>
    <w:rsid w:val="002321B6"/>
    <w:rsid w:val="00250967"/>
    <w:rsid w:val="002543C8"/>
    <w:rsid w:val="00284AAE"/>
    <w:rsid w:val="002E5912"/>
    <w:rsid w:val="00325348"/>
    <w:rsid w:val="0032732C"/>
    <w:rsid w:val="00336AD0"/>
    <w:rsid w:val="0037079A"/>
    <w:rsid w:val="003832C8"/>
    <w:rsid w:val="003D01E8"/>
    <w:rsid w:val="003E5288"/>
    <w:rsid w:val="003F64DB"/>
    <w:rsid w:val="003F6D79"/>
    <w:rsid w:val="0040727C"/>
    <w:rsid w:val="0041760A"/>
    <w:rsid w:val="00417C01"/>
    <w:rsid w:val="004809EE"/>
    <w:rsid w:val="004C7358"/>
    <w:rsid w:val="004E7D54"/>
    <w:rsid w:val="005273C6"/>
    <w:rsid w:val="00530A69"/>
    <w:rsid w:val="00545593"/>
    <w:rsid w:val="00577C6C"/>
    <w:rsid w:val="005C1CBB"/>
    <w:rsid w:val="005C2FE2"/>
    <w:rsid w:val="005E2BC9"/>
    <w:rsid w:val="005F14D0"/>
    <w:rsid w:val="005F7E30"/>
    <w:rsid w:val="00605102"/>
    <w:rsid w:val="006215AA"/>
    <w:rsid w:val="006251CA"/>
    <w:rsid w:val="006913C9"/>
    <w:rsid w:val="0069470D"/>
    <w:rsid w:val="00734F00"/>
    <w:rsid w:val="007A70AE"/>
    <w:rsid w:val="00823081"/>
    <w:rsid w:val="008362E8"/>
    <w:rsid w:val="008954F4"/>
    <w:rsid w:val="008A1768"/>
    <w:rsid w:val="008F4429"/>
    <w:rsid w:val="00927341"/>
    <w:rsid w:val="0094021A"/>
    <w:rsid w:val="009740B2"/>
    <w:rsid w:val="009C6A0B"/>
    <w:rsid w:val="009F0899"/>
    <w:rsid w:val="009F0C77"/>
    <w:rsid w:val="009F4DD1"/>
    <w:rsid w:val="00A41684"/>
    <w:rsid w:val="00A429E2"/>
    <w:rsid w:val="00A445BB"/>
    <w:rsid w:val="00A64E80"/>
    <w:rsid w:val="00A72BCD"/>
    <w:rsid w:val="00A741D9"/>
    <w:rsid w:val="00A833AB"/>
    <w:rsid w:val="00A9741D"/>
    <w:rsid w:val="00AD4B17"/>
    <w:rsid w:val="00B233F9"/>
    <w:rsid w:val="00B412D4"/>
    <w:rsid w:val="00BA1F16"/>
    <w:rsid w:val="00BC5547"/>
    <w:rsid w:val="00BE3C22"/>
    <w:rsid w:val="00C009F2"/>
    <w:rsid w:val="00C0345E"/>
    <w:rsid w:val="00C3483A"/>
    <w:rsid w:val="00C61228"/>
    <w:rsid w:val="00C74E9D"/>
    <w:rsid w:val="00C82FD3"/>
    <w:rsid w:val="00C92819"/>
    <w:rsid w:val="00CC6B7B"/>
    <w:rsid w:val="00CD2089"/>
    <w:rsid w:val="00D73A67"/>
    <w:rsid w:val="00D970A9"/>
    <w:rsid w:val="00D972C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nhideWhenUsed/>
    <w:rsid w:val="00A429E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429E2"/>
    <w:rPr>
      <w:rFonts w:ascii="Tahoma" w:hAnsi="Tahoma" w:cs="Tahoma"/>
      <w:sz w:val="16"/>
      <w:szCs w:val="16"/>
    </w:rPr>
  </w:style>
  <w:style w:type="character" w:customStyle="1" w:styleId="BalloonTextChar">
    <w:name w:val="Balloon Text Char"/>
    <w:basedOn w:val="DefaultParagraphFont"/>
    <w:link w:val="BalloonText"/>
    <w:uiPriority w:val="99"/>
    <w:semiHidden/>
    <w:rsid w:val="00A429E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F64D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BC1A3-F6D8-4E02-8393-8507B1555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3995</Words>
  <Characters>20736</Characters>
  <Application>Microsoft Office Word</Application>
  <DocSecurity>0</DocSecurity>
  <Lines>493</Lines>
  <Paragraphs>126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2010-12-13T13:50:00Z</cp:lastPrinted>
  <dcterms:created xsi:type="dcterms:W3CDTF">2011-02-02T23:56:00Z</dcterms:created>
  <dcterms:modified xsi:type="dcterms:W3CDTF">2011-02-02T23:56:00Z</dcterms:modified>
</cp:coreProperties>
</file>