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1AC" w:rsidRDefault="006C21AC" w:rsidP="00B233F9">
      <w:pPr>
        <w:pStyle w:val="BillDots"/>
      </w:pPr>
      <w:r>
        <w:rPr>
          <w:strike/>
        </w:rPr>
        <w:t>Indicates Matter Stricken</w:t>
      </w:r>
    </w:p>
    <w:p w:rsidR="006C21AC" w:rsidRPr="006C21AC" w:rsidRDefault="006C21AC" w:rsidP="00B233F9">
      <w:pPr>
        <w:pStyle w:val="BillDots"/>
      </w:pPr>
      <w:r>
        <w:rPr>
          <w:u w:val="single"/>
        </w:rPr>
        <w:t>Indicates New Matter</w:t>
      </w:r>
    </w:p>
    <w:p w:rsidR="006C21AC" w:rsidRDefault="006C21AC" w:rsidP="00B233F9">
      <w:pPr>
        <w:pStyle w:val="BillDots"/>
      </w:pPr>
    </w:p>
    <w:p w:rsidR="009E1456" w:rsidRDefault="009E1456" w:rsidP="00B233F9">
      <w:pPr>
        <w:pStyle w:val="BillDots"/>
      </w:pPr>
      <w:r>
        <w:t>COMMITTEE AMENDMENT AMENDED AND ADOPTED</w:t>
      </w:r>
    </w:p>
    <w:p w:rsidR="009E1456" w:rsidRDefault="009E1456" w:rsidP="00B233F9">
      <w:pPr>
        <w:pStyle w:val="BillDots"/>
      </w:pPr>
      <w:r>
        <w:t>May 31, 2011</w:t>
      </w:r>
    </w:p>
    <w:p w:rsidR="009E1456" w:rsidRDefault="009E1456" w:rsidP="00B233F9">
      <w:pPr>
        <w:pStyle w:val="BillDots"/>
      </w:pPr>
    </w:p>
    <w:p w:rsidR="006C21AC" w:rsidRPr="006C21AC" w:rsidRDefault="006C21AC" w:rsidP="006C21AC">
      <w:pPr>
        <w:pStyle w:val="BillDots"/>
        <w:tabs>
          <w:tab w:val="clear" w:pos="216"/>
          <w:tab w:val="clear" w:pos="432"/>
          <w:tab w:val="clear" w:pos="648"/>
          <w:tab w:val="clear" w:pos="864"/>
          <w:tab w:val="clear" w:pos="1080"/>
          <w:tab w:val="clear" w:pos="1296"/>
          <w:tab w:val="clear" w:pos="5904"/>
          <w:tab w:val="right" w:pos="5933"/>
        </w:tabs>
      </w:pPr>
      <w:r>
        <w:tab/>
      </w:r>
      <w:r>
        <w:rPr>
          <w:b/>
          <w:sz w:val="36"/>
        </w:rPr>
        <w:t>H. 3375</w:t>
      </w:r>
    </w:p>
    <w:p w:rsidR="006C21AC" w:rsidRDefault="006C21AC" w:rsidP="00B233F9">
      <w:pPr>
        <w:pStyle w:val="BillDots"/>
      </w:pPr>
    </w:p>
    <w:p w:rsidR="006C21AC" w:rsidRDefault="006C21AC" w:rsidP="00B233F9">
      <w:pPr>
        <w:pStyle w:val="BillDots"/>
      </w:pPr>
      <w:r>
        <w:t>Introduced by Reps. Harrell, Lucas, Cooper, Hardwick, Harrison, Owens, Sandifer, White, Bingham, Atwater, Parker, Crawford, Loftis, Bowen, G.R. Smith, Bedingfield, Toole, Sottile, V.S. Moss, Forrester, Bikas, Huggins, Brady, Allison, Pinson, Frye, Whitmire, Skelton, Nanney, Henderson, Limehouse, Corbin, Barfield, Battle, Clemmons, Cole, Crosby, Daning, Gambrell, Hamilton, Hiott, Hixon, Horne, Lowe, D.C. Moss, Murphy, Norman, Patrick, Simrill, G.M. Smith, J.R. Smith, Spires, Taylor, Willis, Young, Herbkersman, Ballentine, Thayer, Bannister, McCoy, Tallon, Stringer, Long, Hayes, Ott, J.M. Neal, Vick, G.A. Brown, Branham, Anthony, Bowers, Sellers, Quinn, Hearn, Edge, Anderson, Erickson, Knight, Chumley, Butler Garrick and Bales</w:t>
      </w:r>
    </w:p>
    <w:p w:rsidR="006C21AC" w:rsidRDefault="006C21AC" w:rsidP="00B233F9">
      <w:pPr>
        <w:pStyle w:val="BillDots"/>
      </w:pPr>
    </w:p>
    <w:p w:rsidR="006C21AC" w:rsidRDefault="006C21AC" w:rsidP="004161CE">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9E1456">
        <w:t>5/31</w:t>
      </w:r>
      <w:r>
        <w:t>/11--S.</w:t>
      </w:r>
      <w:r w:rsidR="004161CE">
        <w:tab/>
        <w:t>[SEC 6/1/11 3:09 PM]</w:t>
      </w:r>
    </w:p>
    <w:p w:rsidR="006C21AC" w:rsidRDefault="006C21AC" w:rsidP="00B233F9">
      <w:pPr>
        <w:pStyle w:val="BillDots"/>
      </w:pPr>
      <w:r>
        <w:t>Read the first time February 15, 2011.</w:t>
      </w:r>
    </w:p>
    <w:p w:rsidR="006C21AC" w:rsidRDefault="006C21AC" w:rsidP="009E1456">
      <w:pPr>
        <w:pStyle w:val="BillDots"/>
        <w:jc w:val="center"/>
      </w:pPr>
      <w:r>
        <w:rPr>
          <w:u w:val="single"/>
        </w:rPr>
        <w:t>            </w:t>
      </w:r>
    </w:p>
    <w:p w:rsidR="006C21AC" w:rsidRDefault="006C21AC" w:rsidP="00B233F9">
      <w:pPr>
        <w:pStyle w:val="BillDots"/>
        <w:sectPr w:rsidR="006C21AC" w:rsidSect="003832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33F9" w:rsidRDefault="00B233F9" w:rsidP="00B233F9">
      <w:pPr>
        <w:pStyle w:val="BillDots"/>
      </w:pPr>
    </w:p>
    <w:p w:rsidR="00B233F9" w:rsidRDefault="00B233F9" w:rsidP="00B233F9">
      <w:pPr>
        <w:pStyle w:val="Numbersforbill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45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9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THE “SOUTH CAROLINA FAIRN</w:t>
      </w:r>
      <w:r w:rsidR="006251CA">
        <w:t>ESS IN CIVIL JUSTICE ACT OF 2011</w:t>
      </w:r>
      <w:r>
        <w:t>” BY AMENDING ARTICLE 5, CHAPTER 32, TITLE 15, RELATING TO PUNITIVE DAMAGES, SO AS TO PROVIDE LIMITS ON THE AWARD OF PUNITIVE DAMAGES AND TO PROVIDE FOR CERTAIN PROCEDURES AND REQUIREMENTS RELATING TO THE AWARD OF THESE DAMAGES; BY ADDING SECTIONS 1</w:t>
      </w:r>
      <w:r>
        <w:noBreakHyphen/>
        <w:t>7</w:t>
      </w:r>
      <w:r>
        <w:noBreakHyphen/>
        <w:t>750 AND 1-7-760 SO AS TO ENACT THE “PRIVATE ATTORNEY RETENTION SUNSHINE ACT” TO GOVERN THE RETENTION OF PRIVATE ATTORNEYS BY THE ATTORNEY GENERAL OR A SOLICITOR AND TO PROVIDE TERMS AND CONDITIONS GOVERNING THE RETAINER AGREEMENT INCLUDING LIMITS ON THE COMPENSATION OF OUTSIDE COUNSEL IN CONTINGENCY FEE CASES, AND TO PROVIDE FOR THE SUSPENSION OF THE LIMITATIONS UNDER CERTAIN EXCEPTIONAL CIRCUMSTANCES; TO AMEND SECTION 15</w:t>
      </w:r>
      <w:r>
        <w:noBreakHyphen/>
        <w:t>3</w:t>
      </w:r>
      <w:r>
        <w:noBreakHyphen/>
        <w:t>670, RELATING TO LIMITATIONS ON ACTIONS BASED ON UNSAFE OR DEFECTIVE IMPROVEMENTS TO REAL PROPERTY, SO AS TO PROVIDE THAT THE VIOLATION OF A BUILDING CODE DOES NOT CONSTITUTE PER SE FRAUD, GROSS NEGLIGENCE, OR RECKLESSNESS BUT MAY BE ADMISSIBLE AS EVIDENCE; TO AMEND SECTION 18</w:t>
      </w:r>
      <w:r>
        <w:noBreakHyphen/>
        <w:t>9</w:t>
      </w:r>
      <w:r>
        <w:noBreakHyphen/>
        <w:t>130, AS AMENDED, RELATING TO THE EFFECT OF A NOTICE OF APPEAL ON THE EXECUTION OF JUDGMENT, SO AS TO PROVIDE LIMITS FOR APPEAL BONDS; AND TO AMEND SECTION 56</w:t>
      </w:r>
      <w:r>
        <w:noBreakHyphen/>
        <w:t>5</w:t>
      </w:r>
      <w:r>
        <w:noBreakHyphen/>
        <w:t xml:space="preserve">6540, AS AMENDED, RELATING TO THE PENALTIES FOR THE MANDATORY USE OF SEATBELTS, SO AS TO DELETE THE PROVISION THAT PROVIDED THAT A VIOLATION FOR FAILURE TO WEAR A SEATBELT IS NOT </w:t>
      </w:r>
      <w:r>
        <w:lastRenderedPageBreak/>
        <w:t>NEGLIGENCE PER SE OR COMPARATIVE NEGLIGENCE AND IS NOT ADMISSIBLE IN A CIVIL ACTION.</w:t>
      </w:r>
    </w:p>
    <w:p w:rsidR="009E1456" w:rsidRDefault="009E14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445BB" w:rsidRDefault="00A445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5BB" w:rsidRDefault="00A445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45BB" w:rsidRDefault="00A445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SECTION</w:t>
      </w:r>
      <w:r w:rsidRPr="00055F56">
        <w:rPr>
          <w:snapToGrid w:val="0"/>
        </w:rPr>
        <w:tab/>
        <w:t>1.</w:t>
      </w:r>
      <w:r w:rsidRPr="00055F56">
        <w:rPr>
          <w:snapToGrid w:val="0"/>
        </w:rPr>
        <w:tab/>
        <w:t>This act may be cited as the “South Carolina Fairness in Civil Justice Act of 2011”.</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SECTION</w:t>
      </w:r>
      <w:r w:rsidRPr="00055F56">
        <w:rPr>
          <w:snapToGrid w:val="0"/>
        </w:rPr>
        <w:tab/>
        <w:t>2.</w:t>
      </w:r>
      <w:r w:rsidRPr="00055F56">
        <w:rPr>
          <w:snapToGrid w:val="0"/>
        </w:rPr>
        <w:tab/>
        <w:t>Chapter 32, Title 15 of the 1976 Code is amended by adding:</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sidRPr="00055F56">
        <w:rPr>
          <w:snapToGrid w:val="0"/>
        </w:rPr>
        <w:t>“Article 5</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sidRPr="00055F56">
        <w:rPr>
          <w:snapToGrid w:val="0"/>
        </w:rPr>
        <w:t>Punitive Damages</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97213E">
        <w:rPr>
          <w:snapToGrid w:val="0"/>
        </w:rPr>
        <w:t>Section 15-32-510.</w:t>
      </w:r>
      <w:r w:rsidRPr="0097213E">
        <w:rPr>
          <w:snapToGrid w:val="0"/>
        </w:rPr>
        <w:tab/>
        <w:t>(A)</w:t>
      </w:r>
      <w:r w:rsidRPr="0097213E">
        <w:rPr>
          <w:snapToGrid w:val="0"/>
        </w:rPr>
        <w:tab/>
        <w:t>A cl</w:t>
      </w:r>
      <w:r w:rsidRPr="00055F56">
        <w:rPr>
          <w:snapToGrid w:val="0"/>
        </w:rPr>
        <w:t>aim for punitive damages must be specifically prayed for in the complaint.</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t>(B)</w:t>
      </w:r>
      <w:r w:rsidRPr="00055F56">
        <w:rPr>
          <w:snapToGrid w:val="0"/>
        </w:rPr>
        <w:tab/>
        <w:t xml:space="preserve">The plaintiff shall not specifically plead an amount of punitive damages, only that punitive damages are sought in the action. </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t>Section 15-32-520.</w:t>
      </w:r>
      <w:r w:rsidRPr="00055F56">
        <w:rPr>
          <w:snapToGrid w:val="0"/>
        </w:rPr>
        <w:tab/>
      </w:r>
      <w:r w:rsidRPr="00055F56">
        <w:rPr>
          <w:snapToGrid w:val="0"/>
        </w:rPr>
        <w:tab/>
        <w:t>(A)</w:t>
      </w:r>
      <w:r w:rsidRPr="00055F56">
        <w:rPr>
          <w:snapToGrid w:val="0"/>
        </w:rPr>
        <w:tab/>
        <w:t xml:space="preserve">All actions tried before a jury involving punitive damages, if requested by any defendant against whom punitive damages are sought, must be conducted in a bifurcated manner before the same jury. </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t>(B)</w:t>
      </w:r>
      <w:r w:rsidRPr="00055F56">
        <w:rPr>
          <w:snapToGrid w:val="0"/>
        </w:rPr>
        <w:tab/>
        <w:t xml:space="preserve">In the first stage of a bifurcated trial, the jury shall determine liability for compensatory damages and the amount of compensatory or nominal damages. </w:t>
      </w:r>
      <w:r>
        <w:rPr>
          <w:snapToGrid w:val="0"/>
        </w:rPr>
        <w:t xml:space="preserve"> </w:t>
      </w:r>
      <w:r w:rsidRPr="00055F56">
        <w:rPr>
          <w:snapToGrid w:val="0"/>
        </w:rPr>
        <w:t xml:space="preserve">Evidence relevant only to the issues of punitive damages is not admissible at this stage. </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t>(C)</w:t>
      </w:r>
      <w:r w:rsidRPr="00055F56">
        <w:rPr>
          <w:snapToGrid w:val="0"/>
        </w:rPr>
        <w:tab/>
        <w:t xml:space="preserve">Punitive damages may be considered if compensatory </w:t>
      </w:r>
      <w:r>
        <w:rPr>
          <w:snapToGrid w:val="0"/>
        </w:rPr>
        <w:t xml:space="preserve">or nominal </w:t>
      </w:r>
      <w:r w:rsidRPr="00055F56">
        <w:rPr>
          <w:snapToGrid w:val="0"/>
        </w:rPr>
        <w:t xml:space="preserve">damages have been awarded in the first stage of the trial. </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t>Punitive damages may</w:t>
      </w:r>
      <w:r w:rsidRPr="00055F56">
        <w:rPr>
          <w:snapToGrid w:val="0"/>
        </w:rPr>
        <w:t xml:space="preserve"> be awarded</w:t>
      </w:r>
      <w:r>
        <w:rPr>
          <w:snapToGrid w:val="0"/>
        </w:rPr>
        <w:t xml:space="preserve"> only</w:t>
      </w:r>
      <w:r w:rsidRPr="00055F56">
        <w:rPr>
          <w:snapToGrid w:val="0"/>
        </w:rPr>
        <w:t xml:space="preserve"> if the plaintiff proves by clear and convincing evidence that his harm was the result of the defendant’s willful, wanton, or reckless conduct. </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t>(E)</w:t>
      </w:r>
      <w:r w:rsidRPr="00055F56">
        <w:rPr>
          <w:snapToGrid w:val="0"/>
        </w:rPr>
        <w:tab/>
        <w:t xml:space="preserve">In the second stage of a bifurcated trial, the jury shall determine if a defendant is liable for punitive damages and, if determined to be liable, the amount of punitive damages. In determining the amount of punitive damages, the jury may consider all relevant evidence, including, but not limited to: </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055F56">
        <w:rPr>
          <w:snapToGrid w:val="0"/>
        </w:rPr>
        <w:tab/>
        <w:t>(1)</w:t>
      </w:r>
      <w:r w:rsidRPr="00055F56">
        <w:rPr>
          <w:snapToGrid w:val="0"/>
        </w:rPr>
        <w:tab/>
        <w:t>the defendant’s degree of culpability;</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055F56">
        <w:rPr>
          <w:snapToGrid w:val="0"/>
        </w:rPr>
        <w:tab/>
        <w:t>(2)</w:t>
      </w:r>
      <w:r w:rsidRPr="00055F56">
        <w:rPr>
          <w:snapToGrid w:val="0"/>
        </w:rPr>
        <w:tab/>
        <w:t xml:space="preserve">the severity of the harm caused by the defendant; </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lastRenderedPageBreak/>
        <w:tab/>
      </w:r>
      <w:r w:rsidRPr="00055F56">
        <w:rPr>
          <w:snapToGrid w:val="0"/>
        </w:rPr>
        <w:tab/>
        <w:t>(3)</w:t>
      </w:r>
      <w:r w:rsidRPr="00055F56">
        <w:rPr>
          <w:snapToGrid w:val="0"/>
        </w:rPr>
        <w:tab/>
        <w:t xml:space="preserve">the extent to which the plaintiff’s own conduct contributed to the harm; </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055F56">
        <w:rPr>
          <w:snapToGrid w:val="0"/>
        </w:rPr>
        <w:tab/>
        <w:t>(4)</w:t>
      </w:r>
      <w:r w:rsidRPr="00055F56">
        <w:rPr>
          <w:snapToGrid w:val="0"/>
        </w:rPr>
        <w:tab/>
        <w:t xml:space="preserve">the duration of the conduct, the defendant’s awareness, and any concealment by the defendant; </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055F56">
        <w:rPr>
          <w:snapToGrid w:val="0"/>
        </w:rPr>
        <w:tab/>
        <w:t>(5)</w:t>
      </w:r>
      <w:r w:rsidRPr="00055F56">
        <w:rPr>
          <w:snapToGrid w:val="0"/>
        </w:rPr>
        <w:tab/>
        <w:t>the existence of similar past conduct;</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055F56">
        <w:rPr>
          <w:snapToGrid w:val="0"/>
        </w:rPr>
        <w:tab/>
        <w:t>(6)</w:t>
      </w:r>
      <w:r w:rsidRPr="00055F56">
        <w:rPr>
          <w:snapToGrid w:val="0"/>
        </w:rPr>
        <w:tab/>
        <w:t xml:space="preserve">the profitability of the conduct to the defendant; </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055F56">
        <w:rPr>
          <w:snapToGrid w:val="0"/>
        </w:rPr>
        <w:tab/>
        <w:t>(7)</w:t>
      </w:r>
      <w:r w:rsidRPr="00055F56">
        <w:rPr>
          <w:snapToGrid w:val="0"/>
        </w:rPr>
        <w:tab/>
        <w:t>the defendant’s ability to pay;</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055F56">
        <w:rPr>
          <w:snapToGrid w:val="0"/>
        </w:rPr>
        <w:tab/>
        <w:t>(8)</w:t>
      </w:r>
      <w:r w:rsidRPr="00055F56">
        <w:rPr>
          <w:snapToGrid w:val="0"/>
        </w:rPr>
        <w:tab/>
        <w:t>the likelihood the award will deter the defendant or others from like conduct;</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055F56">
        <w:rPr>
          <w:snapToGrid w:val="0"/>
        </w:rPr>
        <w:tab/>
        <w:t>(9)</w:t>
      </w:r>
      <w:r w:rsidRPr="00055F56">
        <w:rPr>
          <w:snapToGrid w:val="0"/>
        </w:rPr>
        <w:tab/>
        <w:t xml:space="preserve">the awards of punitive damages against the defendant in any state or federal court action alleging harm from the same act or course of conduct complained of by the plaintiff; </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055F56">
        <w:rPr>
          <w:snapToGrid w:val="0"/>
        </w:rPr>
        <w:tab/>
        <w:t>(10)</w:t>
      </w:r>
      <w:r w:rsidRPr="00055F56">
        <w:rPr>
          <w:snapToGrid w:val="0"/>
        </w:rPr>
        <w:tab/>
        <w:t xml:space="preserve">any criminal penalties imposed on the defendant as a result of the same act or course of conduct complained of by the plaintiff; and </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055F56">
        <w:rPr>
          <w:snapToGrid w:val="0"/>
        </w:rPr>
        <w:tab/>
        <w:t>(11)</w:t>
      </w:r>
      <w:r w:rsidRPr="00055F56">
        <w:rPr>
          <w:snapToGrid w:val="0"/>
        </w:rPr>
        <w:tab/>
        <w:t xml:space="preserve">the amount of any civil fines assessed against the defendant as a result of the same act or course of conduct complained of by the plaintiff. </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t>(F)</w:t>
      </w:r>
      <w:r w:rsidRPr="00055F56">
        <w:rPr>
          <w:snapToGrid w:val="0"/>
        </w:rPr>
        <w:tab/>
        <w:t xml:space="preserve">If punitive damages are awarded, the trial court shall review the jury’s decision, considering all relevant evidence, including the factors identified in subsection (E), to ensure that the award is not excessive or the result of passion or prejudice. </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t>(G)</w:t>
      </w:r>
      <w:r w:rsidRPr="00055F56">
        <w:rPr>
          <w:snapToGrid w:val="0"/>
        </w:rPr>
        <w:tab/>
        <w:t xml:space="preserve">In an action with multiple defendants, a punitive damages award must be specific to each defendant, and each defendant is liable only for the amount of the award made against that defendant. </w:t>
      </w:r>
    </w:p>
    <w:p w:rsidR="009E14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004161CE">
        <w:rPr>
          <w:snapToGrid w:val="0"/>
        </w:rPr>
        <w:t>Section 15-32-530</w:t>
      </w:r>
      <w:r w:rsidR="004161CE">
        <w:rPr>
          <w:snapToGrid w:val="0"/>
        </w:rPr>
        <w:tab/>
        <w:t>.(A)</w:t>
      </w:r>
      <w:r w:rsidRPr="005C1667">
        <w:rPr>
          <w:snapToGrid w:val="0"/>
        </w:rPr>
        <w:tab/>
        <w:t>Exce</w:t>
      </w:r>
      <w:r>
        <w:rPr>
          <w:snapToGrid w:val="0"/>
        </w:rPr>
        <w:t>pt as provided in subsections (B) and (C</w:t>
      </w:r>
      <w:r w:rsidRPr="005C1667">
        <w:rPr>
          <w:snapToGrid w:val="0"/>
        </w:rPr>
        <w:t>), an award of punitive damages may not exceed the greater of three times the amount of compensatory damages awarded to each claimant entitled thereto</w:t>
      </w:r>
      <w:r>
        <w:rPr>
          <w:snapToGrid w:val="0"/>
        </w:rPr>
        <w:t xml:space="preserve"> </w:t>
      </w:r>
      <w:r w:rsidRPr="005C1667">
        <w:rPr>
          <w:snapToGrid w:val="0"/>
        </w:rPr>
        <w:t>or the sum of five hundred thousand dollars.</w:t>
      </w:r>
    </w:p>
    <w:p w:rsidR="009E1456" w:rsidRPr="005C1667"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sidRPr="005C1667">
        <w:rPr>
          <w:snapToGrid w:val="0"/>
        </w:rPr>
        <w:t>)</w:t>
      </w:r>
      <w:r w:rsidRPr="005C1667">
        <w:rPr>
          <w:snapToGrid w:val="0"/>
        </w:rPr>
        <w:tab/>
        <w:t xml:space="preserve">The limitation provided in subsection (A) may not be disclosed to the jury.  If the jury returns a verdict for punitive damages in excess of the maximum amount specified in subsection (A), </w:t>
      </w:r>
      <w:r>
        <w:rPr>
          <w:snapToGrid w:val="0"/>
        </w:rPr>
        <w:t>the trial court should first determine whether:</w:t>
      </w:r>
    </w:p>
    <w:p w:rsidR="009E14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Pr="005C1667">
        <w:rPr>
          <w:snapToGrid w:val="0"/>
        </w:rPr>
        <w:t xml:space="preserve">the wrongful conduct proven under this section was motivated </w:t>
      </w:r>
      <w:r>
        <w:rPr>
          <w:snapToGrid w:val="0"/>
        </w:rPr>
        <w:t>primarily</w:t>
      </w:r>
      <w:r w:rsidRPr="005C1667">
        <w:rPr>
          <w:snapToGrid w:val="0"/>
        </w:rPr>
        <w:t xml:space="preserve"> by unreasonable financial gain and determines that the unreasonably dangerous nature of the conduct, together with the high likelihood of injury resulting from the conduct</w:t>
      </w:r>
      <w:r>
        <w:rPr>
          <w:snapToGrid w:val="0"/>
        </w:rPr>
        <w:t>, was</w:t>
      </w:r>
      <w:r w:rsidRPr="005C1667">
        <w:rPr>
          <w:snapToGrid w:val="0"/>
        </w:rPr>
        <w:t xml:space="preserve"> known </w:t>
      </w:r>
      <w:r>
        <w:rPr>
          <w:snapToGrid w:val="0"/>
        </w:rPr>
        <w:t xml:space="preserve">or approved </w:t>
      </w:r>
      <w:r w:rsidRPr="005C1667">
        <w:rPr>
          <w:snapToGrid w:val="0"/>
        </w:rPr>
        <w:t>by the managing agent, director, officer, or</w:t>
      </w:r>
      <w:r>
        <w:rPr>
          <w:snapToGrid w:val="0"/>
        </w:rPr>
        <w:t xml:space="preserve"> the</w:t>
      </w:r>
      <w:r w:rsidRPr="005C1667">
        <w:rPr>
          <w:snapToGrid w:val="0"/>
        </w:rPr>
        <w:t xml:space="preserve"> person responsible for making policy decis</w:t>
      </w:r>
      <w:r>
        <w:rPr>
          <w:snapToGrid w:val="0"/>
        </w:rPr>
        <w:t>ions on behalf of the defendant; or</w:t>
      </w:r>
    </w:p>
    <w:p w:rsidR="009E14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t>(2)</w:t>
      </w:r>
      <w:r>
        <w:rPr>
          <w:snapToGrid w:val="0"/>
        </w:rPr>
        <w:tab/>
      </w:r>
      <w:r w:rsidRPr="00924601">
        <w:rPr>
          <w:snapToGrid w:val="0"/>
        </w:rPr>
        <w:t>the defendant’s actions could subject the defendant to conviction of a felony and that act or course of conduct is a proximate cause of the plaintiff’s damages;</w:t>
      </w:r>
    </w:p>
    <w:p w:rsidR="009E1456" w:rsidRPr="005C1667"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 xml:space="preserve">If the trial court determines that either item (1) or (2) apply, then punitive damages must </w:t>
      </w:r>
      <w:r w:rsidRPr="005C1667">
        <w:rPr>
          <w:snapToGrid w:val="0"/>
        </w:rPr>
        <w:t>not exceed the greater of four times the amount of compensatory damages awarded to each claimant entitled thereto or the sum of two million dollars</w:t>
      </w:r>
      <w:r>
        <w:rPr>
          <w:snapToGrid w:val="0"/>
        </w:rPr>
        <w:t xml:space="preserve"> and, if necessary, the trial court shall reduce the award and enter judgement for punitive damages in the maximum amount allowed by this subsection</w:t>
      </w:r>
      <w:r w:rsidRPr="005C1667">
        <w:rPr>
          <w:snapToGrid w:val="0"/>
        </w:rPr>
        <w:t>.</w:t>
      </w:r>
      <w:r>
        <w:rPr>
          <w:snapToGrid w:val="0"/>
        </w:rPr>
        <w:t xml:space="preserve">  If the trial court determines that neither item (1) or (2) apply, then the award of punitive damages shall be subject to the maximum amount provided by subsection (A) and the trial court shall reduce the award and enter judgement for punitive damages in the maximum amount allowed by subsection (A)</w:t>
      </w:r>
      <w:r w:rsidRPr="005C1667">
        <w:rPr>
          <w:snapToGrid w:val="0"/>
        </w:rPr>
        <w:t>.</w:t>
      </w:r>
      <w:r>
        <w:rPr>
          <w:snapToGrid w:val="0"/>
        </w:rPr>
        <w:t xml:space="preserve"> </w:t>
      </w:r>
    </w:p>
    <w:p w:rsidR="009E14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sidRPr="005C1667">
        <w:rPr>
          <w:snapToGrid w:val="0"/>
        </w:rPr>
        <w:t>)</w:t>
      </w:r>
      <w:r w:rsidRPr="005C1667">
        <w:rPr>
          <w:snapToGrid w:val="0"/>
        </w:rPr>
        <w:tab/>
      </w:r>
      <w:r>
        <w:rPr>
          <w:snapToGrid w:val="0"/>
        </w:rPr>
        <w:t xml:space="preserve">However, when </w:t>
      </w:r>
      <w:r w:rsidRPr="005C1667">
        <w:rPr>
          <w:snapToGrid w:val="0"/>
        </w:rPr>
        <w:t xml:space="preserve">the trial court determines </w:t>
      </w:r>
      <w:r>
        <w:rPr>
          <w:snapToGrid w:val="0"/>
        </w:rPr>
        <w:t>one of the following apply, there shall be no cap on punitive damages:</w:t>
      </w:r>
    </w:p>
    <w:p w:rsidR="009E14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Pr="005C1667">
        <w:rPr>
          <w:snapToGrid w:val="0"/>
        </w:rPr>
        <w:t>at the time of injury the defendant had a</w:t>
      </w:r>
      <w:r>
        <w:rPr>
          <w:snapToGrid w:val="0"/>
        </w:rPr>
        <w:t>n intent to harm</w:t>
      </w:r>
      <w:r w:rsidRPr="005C1667">
        <w:rPr>
          <w:snapToGrid w:val="0"/>
        </w:rPr>
        <w:t xml:space="preserve"> and determines that the defendant's conduc</w:t>
      </w:r>
      <w:r>
        <w:rPr>
          <w:snapToGrid w:val="0"/>
        </w:rPr>
        <w:t>t did in fact harm the claimant;</w:t>
      </w:r>
      <w:r w:rsidRPr="005C1667">
        <w:rPr>
          <w:snapToGrid w:val="0"/>
        </w:rPr>
        <w:t xml:space="preserve"> </w:t>
      </w:r>
      <w:r>
        <w:rPr>
          <w:snapToGrid w:val="0"/>
        </w:rPr>
        <w:t>or</w:t>
      </w:r>
    </w:p>
    <w:p w:rsidR="009E1456" w:rsidRPr="00924601"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the defendant has ple</w:t>
      </w:r>
      <w:r w:rsidRPr="006916A0">
        <w:rPr>
          <w:snapToGrid w:val="0"/>
        </w:rPr>
        <w:t xml:space="preserve">d guilty to or been convicted of a felony arising out of the same act or course of conduct complained of by the plaintiff and that act or course of conduct is </w:t>
      </w:r>
      <w:r>
        <w:rPr>
          <w:snapToGrid w:val="0"/>
        </w:rPr>
        <w:t>a</w:t>
      </w:r>
      <w:r w:rsidRPr="006916A0">
        <w:rPr>
          <w:snapToGrid w:val="0"/>
        </w:rPr>
        <w:t xml:space="preserve"> proximate cause of the plaintiff’s damages; or</w:t>
      </w:r>
    </w:p>
    <w:p w:rsidR="009E14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24601">
        <w:rPr>
          <w:snapToGrid w:val="0"/>
        </w:rPr>
        <w:tab/>
      </w:r>
      <w:r w:rsidRPr="00924601">
        <w:rPr>
          <w:snapToGrid w:val="0"/>
        </w:rPr>
        <w:tab/>
        <w:t>(3)</w:t>
      </w:r>
      <w:r w:rsidRPr="00924601">
        <w:rPr>
          <w:snapToGrid w:val="0"/>
        </w:rPr>
        <w:tab/>
        <w:t>the defendant acted or failed to act while under the influence of alcohol, drugs, other than lawfully prescribed drugs administered in accordance with a prescription, or any intentionally consumed glue, aerosol, or other toxic vapor to the degree that the defendant’s jud</w:t>
      </w:r>
      <w:r>
        <w:rPr>
          <w:snapToGrid w:val="0"/>
        </w:rPr>
        <w:t>gment is substantially impaired.</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Pr>
          <w:snapToGrid w:val="0"/>
        </w:rPr>
        <w:t>(D</w:t>
      </w:r>
      <w:r w:rsidRPr="00055F56">
        <w:rPr>
          <w:snapToGrid w:val="0"/>
        </w:rPr>
        <w:t>)</w:t>
      </w:r>
      <w:r w:rsidRPr="00055F56">
        <w:rPr>
          <w:snapToGrid w:val="0"/>
        </w:rPr>
        <w:tab/>
        <w:t>At the end of each calendar year, the State Budget and Control Board, Board of Economic Advisors must determine the increase or decrease in the ratio of the Consumer Price Index to the index as of December 31 of the previous year, and the maximum amount recoverable for punitive damages pursuant to subsection (A) must be increased or decreased accordingly.  As soon as practicable after this adjustment is calculated, the Director of the State Budget and Control Board shall submit the revised maximum amount recoverable for punitive damages to the State Register for public</w:t>
      </w:r>
      <w:r>
        <w:rPr>
          <w:snapToGrid w:val="0"/>
        </w:rPr>
        <w:t>ation, pursuant to Section 1-23-</w:t>
      </w:r>
      <w:r w:rsidRPr="00055F56">
        <w:rPr>
          <w:snapToGrid w:val="0"/>
        </w:rPr>
        <w:t>40(2), and the revised maximum amount recoverable for punitive damages becomes effective upon publication in the State Register. For purposes of this subsection, ‘Consumer Price Index’ means the Consumer Price Index for All Urban Consumers as published by the United States Department of Labor, Bureau of Labor Statistics.</w:t>
      </w:r>
    </w:p>
    <w:p w:rsidR="009E1456" w:rsidRPr="00055F56" w:rsidRDefault="00571B04"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sidR="009E1456" w:rsidRPr="00055F56">
        <w:rPr>
          <w:snapToGrid w:val="0"/>
        </w:rPr>
        <w:t>Section 15-32-540.</w:t>
      </w:r>
      <w:r w:rsidR="009E1456" w:rsidRPr="00055F56">
        <w:rPr>
          <w:snapToGrid w:val="0"/>
        </w:rPr>
        <w:tab/>
      </w:r>
      <w:r w:rsidR="009E1456" w:rsidRPr="00055F56">
        <w:rPr>
          <w:snapToGrid w:val="0"/>
        </w:rPr>
        <w:tab/>
        <w:t>The provisions of this article do not affect any right, privilege, or provision of the South Carolina Tort Claims Act pursuant to Chapter 78, Title 15 or the South Carolina Solicitation of Charitable Funds Act as contained in Chapter 56, Title 33.”</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r>
      <w:r w:rsidRPr="00055F56">
        <w:rPr>
          <w:snapToGrid w:val="0"/>
        </w:rPr>
        <w:t>3</w:t>
      </w:r>
      <w:r>
        <w:rPr>
          <w:snapToGrid w:val="0"/>
        </w:rPr>
        <w:t>.</w:t>
      </w:r>
      <w:r w:rsidRPr="00055F56">
        <w:rPr>
          <w:snapToGrid w:val="0"/>
        </w:rPr>
        <w:tab/>
        <w:t>Article 5, Chapter 7, Title 1 of the 1976 Code is amended by adding:</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t>“</w:t>
      </w:r>
      <w:r>
        <w:rPr>
          <w:snapToGrid w:val="0"/>
        </w:rPr>
        <w:t>Section 1-7-750.</w:t>
      </w:r>
      <w:r w:rsidRPr="00055F56">
        <w:rPr>
          <w:snapToGrid w:val="0"/>
        </w:rPr>
        <w:tab/>
        <w:t xml:space="preserve">A circuit solicitor may employ outside counsel, in his discretion, without approval of the Attorney General, for civil forfeiture proceedings arising from criminal activity or from estreatment of bail bonds.  In any other matter, the circuit solicitor must obtain written approval of the Attorney General prior to retaining counsel to or </w:t>
      </w:r>
      <w:r>
        <w:rPr>
          <w:snapToGrid w:val="0"/>
        </w:rPr>
        <w:t>filing a civil cause of action.”</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w:t>
      </w:r>
      <w:r w:rsidRPr="00055F56">
        <w:rPr>
          <w:snapToGrid w:val="0"/>
        </w:rPr>
        <w:tab/>
        <w:t xml:space="preserve">Article 1, Chapter 77, Title 38 of the 1976 Code is amended by adding: </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t>“Section 38-77-250.</w:t>
      </w:r>
      <w:r w:rsidRPr="00055F56">
        <w:rPr>
          <w:snapToGrid w:val="0"/>
        </w:rPr>
        <w:tab/>
        <w:t>(A)</w:t>
      </w:r>
      <w:r w:rsidRPr="00055F56">
        <w:rPr>
          <w:snapToGrid w:val="0"/>
        </w:rPr>
        <w:tab/>
        <w:t>Every insurer providing automob</w:t>
      </w:r>
      <w:r>
        <w:rPr>
          <w:snapToGrid w:val="0"/>
        </w:rPr>
        <w:t>ile insurance coverage in this S</w:t>
      </w:r>
      <w:r w:rsidRPr="00055F56">
        <w:rPr>
          <w:snapToGrid w:val="0"/>
        </w:rPr>
        <w:t>tate and which is or may be liable to pay all or a part of any claim shall provide, within thirty days of receiving a written request from the claimant’s attorney, a statement, under oath, of a corporate officer or the insurer’s claims manager stating with regard to each known policy of nonfleet private passenger insurance issued by it, the name of the insurer, the name of each insured, and the limits of coverage.  The insurer may provide a copy of the declaration page of each such policy in lieu of providing such information. The request shall set forth under oath the specific nature of the claim asserted and shall be mailed to the insurer by certified mail or statutory overnight delivery.  The request must also state that the attorney is authorized to make such a request and must be accompanied by a copy of the incident report from which the claim is derived.</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055F56">
        <w:rPr>
          <w:snapToGrid w:val="0"/>
        </w:rPr>
        <w:tab/>
        <w:t>(B)</w:t>
      </w:r>
      <w:r w:rsidRPr="00055F56">
        <w:rPr>
          <w:snapToGrid w:val="0"/>
        </w:rPr>
        <w:tab/>
        <w:t>If the request provided in subsection (A) contains information insufficient to allow compliance, the insurer upon whom the request was made may so state in writing, stating specifically what additional information is needed and such compliance shall constitute compliance with this section.</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055F56">
        <w:rPr>
          <w:snapToGrid w:val="0"/>
        </w:rPr>
        <w:tab/>
        <w:t>(C)</w:t>
      </w:r>
      <w:r w:rsidRPr="00055F56">
        <w:rPr>
          <w:snapToGrid w:val="0"/>
        </w:rPr>
        <w:tab/>
        <w:t xml:space="preserve">The information provided to a claimant or his attorney as required by subsection (A) of this section shall not create a waiver </w:t>
      </w:r>
      <w:r w:rsidRPr="00055F56">
        <w:rPr>
          <w:snapToGrid w:val="0"/>
        </w:rPr>
        <w:lastRenderedPageBreak/>
        <w:t>of any defenses to coverage available to the insurer and shall not be admissible in evidence.</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055F56">
        <w:rPr>
          <w:snapToGrid w:val="0"/>
        </w:rPr>
        <w:tab/>
        <w:t>(D)</w:t>
      </w:r>
      <w:r w:rsidRPr="00055F56">
        <w:rPr>
          <w:snapToGrid w:val="0"/>
        </w:rPr>
        <w:tab/>
        <w:t>The information provided to a claimant or his attorney as required by subsection (A) shall be amended upon the discovery of facts inconsistent with or in addition to the information provided.</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055F56">
        <w:rPr>
          <w:snapToGrid w:val="0"/>
        </w:rPr>
        <w:tab/>
        <w:t>(E)</w:t>
      </w:r>
      <w:r w:rsidRPr="00055F56">
        <w:rPr>
          <w:snapToGrid w:val="0"/>
        </w:rPr>
        <w:tab/>
        <w:t>The provisions of this section do not require disclosure of limits for fleet policy limits, umbrella coverages, or excess coverages.</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055F56">
        <w:rPr>
          <w:snapToGrid w:val="0"/>
        </w:rPr>
        <w:tab/>
        <w:t>(F)</w:t>
      </w:r>
      <w:r w:rsidRPr="00055F56">
        <w:rPr>
          <w:snapToGrid w:val="0"/>
        </w:rPr>
        <w:tab/>
        <w:t>The information received pursuant to this section is confidential and must not be disclosed to any outside party.  Upon final disposition of the case, the claimant’s attorney must destroy all information received pursuant to this section. The court must impose sanctions for a violation of this subsection.”</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sidRPr="00055F56">
        <w:rPr>
          <w:snapToGrid w:val="0"/>
        </w:rPr>
        <w:tab/>
        <w:t>Section 15-3-670 of the 1976 Code is amended to read:</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E1456" w:rsidRPr="00CB7AEF"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CB7AEF">
        <w:rPr>
          <w:snapToGrid w:val="0"/>
        </w:rPr>
        <w:t>“Section 15-3-</w:t>
      </w:r>
      <w:r>
        <w:rPr>
          <w:snapToGrid w:val="0"/>
        </w:rPr>
        <w:t>670.</w:t>
      </w:r>
      <w:r w:rsidRPr="00CB7AEF">
        <w:rPr>
          <w:snapToGrid w:val="0"/>
        </w:rPr>
        <w:tab/>
      </w:r>
      <w:r w:rsidRPr="00CB7AEF">
        <w:rPr>
          <w:snapToGrid w:val="0"/>
          <w:u w:val="single"/>
        </w:rPr>
        <w:t>(A)</w:t>
      </w:r>
      <w:r w:rsidRPr="00CB7AEF">
        <w:rPr>
          <w:snapToGrid w:val="0"/>
        </w:rPr>
        <w:tab/>
        <w:t xml:space="preserve">The limitation provided by Sections 15-3-640 through 15-3-660 may not be asserted as a defense by </w:t>
      </w:r>
      <w:r w:rsidRPr="001745BA">
        <w:rPr>
          <w:strike/>
          <w:snapToGrid w:val="0"/>
        </w:rPr>
        <w:t>any</w:t>
      </w:r>
      <w:r w:rsidRPr="00CB7AEF">
        <w:rPr>
          <w:snapToGrid w:val="0"/>
        </w:rPr>
        <w:t xml:space="preserve"> </w:t>
      </w:r>
      <w:r w:rsidRPr="00CB7AEF">
        <w:rPr>
          <w:snapToGrid w:val="0"/>
          <w:u w:val="single"/>
        </w:rPr>
        <w:t>a</w:t>
      </w:r>
      <w:r w:rsidRPr="00CB7AEF">
        <w:rPr>
          <w:snapToGrid w:val="0"/>
        </w:rPr>
        <w:t xml:space="preserve"> person in actual possession or control, as owner, tenant, or otherwise, of the improvement at the time the defective or unsafe condition constitutes the proximate cause of the injury or death for which it is proposed to bring an action, in the event </w:t>
      </w:r>
      <w:r w:rsidRPr="001745BA">
        <w:rPr>
          <w:strike/>
          <w:snapToGrid w:val="0"/>
        </w:rPr>
        <w:t>such</w:t>
      </w:r>
      <w:r w:rsidRPr="00CB7AEF">
        <w:rPr>
          <w:snapToGrid w:val="0"/>
        </w:rPr>
        <w:t xml:space="preserve"> </w:t>
      </w:r>
      <w:r w:rsidRPr="00CB7AEF">
        <w:rPr>
          <w:snapToGrid w:val="0"/>
          <w:u w:val="single"/>
        </w:rPr>
        <w:t>the</w:t>
      </w:r>
      <w:r w:rsidRPr="00CB7AEF">
        <w:rPr>
          <w:snapToGrid w:val="0"/>
        </w:rPr>
        <w:t xml:space="preserve"> person in actual possession or control knows, or reasonably should have known, of the defective or unsafe condition.  The limitations provided by Sections 15-3-640 through 15-3-660 are not available as a defense to </w:t>
      </w:r>
      <w:r w:rsidRPr="001745BA">
        <w:rPr>
          <w:strike/>
          <w:snapToGrid w:val="0"/>
        </w:rPr>
        <w:t>any</w:t>
      </w:r>
      <w:r w:rsidRPr="00CB7AEF">
        <w:rPr>
          <w:snapToGrid w:val="0"/>
        </w:rPr>
        <w:t xml:space="preserve"> </w:t>
      </w:r>
      <w:r w:rsidRPr="00CB7AEF">
        <w:rPr>
          <w:snapToGrid w:val="0"/>
          <w:u w:val="single"/>
        </w:rPr>
        <w:t>a</w:t>
      </w:r>
      <w:r w:rsidRPr="00CB7AEF">
        <w:rPr>
          <w:snapToGrid w:val="0"/>
        </w:rPr>
        <w:t xml:space="preserve"> person guilty of fraud, gross negligence, or recklessness in providing components in furnishing materials, in developing real property, in performing or furnishing the design, plans, specifications, surveying, planning, supervision, testing or observation of construction, construction of, or land surveying, in connection with such an improvement, or to </w:t>
      </w:r>
      <w:r w:rsidRPr="001745BA">
        <w:rPr>
          <w:strike/>
          <w:snapToGrid w:val="0"/>
        </w:rPr>
        <w:t>any</w:t>
      </w:r>
      <w:r w:rsidRPr="00CB7AEF">
        <w:rPr>
          <w:snapToGrid w:val="0"/>
        </w:rPr>
        <w:t xml:space="preserve"> </w:t>
      </w:r>
      <w:r w:rsidRPr="00CB7AEF">
        <w:rPr>
          <w:snapToGrid w:val="0"/>
          <w:u w:val="single"/>
        </w:rPr>
        <w:t>a</w:t>
      </w:r>
      <w:r w:rsidRPr="00CB7AEF">
        <w:rPr>
          <w:snapToGrid w:val="0"/>
        </w:rPr>
        <w:t xml:space="preserve"> person who conceals any such cause of action.  </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055F56">
        <w:rPr>
          <w:snapToGrid w:val="0"/>
        </w:rPr>
        <w:tab/>
      </w:r>
      <w:r w:rsidRPr="00055F56">
        <w:rPr>
          <w:snapToGrid w:val="0"/>
          <w:u w:val="single"/>
        </w:rPr>
        <w:t>(B)</w:t>
      </w:r>
      <w:r w:rsidRPr="00055F56">
        <w:rPr>
          <w:snapToGrid w:val="0"/>
        </w:rPr>
        <w:tab/>
      </w:r>
      <w:r w:rsidRPr="00055F56">
        <w:rPr>
          <w:snapToGrid w:val="0"/>
          <w:u w:val="single"/>
        </w:rPr>
        <w:t>For the purposes of subsection (A), the violation of a building code of a jurisdiction or political subdivision does not constitute per se fraud, gross negligence, or recklessness</w:t>
      </w:r>
      <w:r>
        <w:rPr>
          <w:snapToGrid w:val="0"/>
          <w:u w:val="single"/>
        </w:rPr>
        <w:t>,</w:t>
      </w:r>
      <w:r w:rsidRPr="00055F56">
        <w:rPr>
          <w:snapToGrid w:val="0"/>
          <w:u w:val="single"/>
        </w:rPr>
        <w:t xml:space="preserve"> but this type of violation may be admissible as evidence of fraud, negligence, gross negligence, or recklessness.</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055F56">
        <w:rPr>
          <w:snapToGrid w:val="0"/>
          <w:u w:val="single"/>
        </w:rPr>
        <w:t>(C)</w:t>
      </w:r>
      <w:r w:rsidRPr="00055F56">
        <w:rPr>
          <w:snapToGrid w:val="0"/>
        </w:rPr>
        <w:tab/>
        <w:t xml:space="preserve">The limitation provided by Section 15-3-640 may not be asserted as a defense to </w:t>
      </w:r>
      <w:r w:rsidRPr="000E6BE2">
        <w:rPr>
          <w:strike/>
          <w:snapToGrid w:val="0"/>
        </w:rPr>
        <w:t>any</w:t>
      </w:r>
      <w:r>
        <w:rPr>
          <w:snapToGrid w:val="0"/>
        </w:rPr>
        <w:t xml:space="preserve"> </w:t>
      </w:r>
      <w:r w:rsidRPr="000E6BE2">
        <w:rPr>
          <w:snapToGrid w:val="0"/>
          <w:u w:val="single"/>
        </w:rPr>
        <w:t>an</w:t>
      </w:r>
      <w:r w:rsidRPr="00055F56">
        <w:rPr>
          <w:snapToGrid w:val="0"/>
        </w:rPr>
        <w:t xml:space="preserve"> action for personal injury, including a personal injury resulting in death, or property damage which is:</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tab/>
      </w:r>
      <w:r w:rsidRPr="00055F56">
        <w:rPr>
          <w:snapToGrid w:val="0"/>
        </w:rPr>
        <w:tab/>
      </w:r>
      <w:r w:rsidRPr="00055F56">
        <w:rPr>
          <w:strike/>
          <w:snapToGrid w:val="0"/>
        </w:rPr>
        <w:t>(i)</w:t>
      </w:r>
      <w:r w:rsidRPr="00055F56">
        <w:rPr>
          <w:snapToGrid w:val="0"/>
          <w:u w:val="single"/>
        </w:rPr>
        <w:t>(1)</w:t>
      </w:r>
      <w:r w:rsidRPr="00055F56">
        <w:rPr>
          <w:snapToGrid w:val="0"/>
        </w:rPr>
        <w:tab/>
        <w:t>by its nature not discoverable in the exercise of reasonable diligence at the time of its occurrence</w:t>
      </w:r>
      <w:r w:rsidRPr="000E6BE2">
        <w:rPr>
          <w:snapToGrid w:val="0"/>
          <w:u w:val="single"/>
        </w:rPr>
        <w:t>;</w:t>
      </w:r>
      <w:r w:rsidRPr="00055F56">
        <w:rPr>
          <w:snapToGrid w:val="0"/>
        </w:rPr>
        <w:t xml:space="preserve"> and </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55F56">
        <w:rPr>
          <w:snapToGrid w:val="0"/>
        </w:rPr>
        <w:lastRenderedPageBreak/>
        <w:tab/>
      </w:r>
      <w:r w:rsidRPr="00055F56">
        <w:rPr>
          <w:snapToGrid w:val="0"/>
        </w:rPr>
        <w:tab/>
      </w:r>
      <w:r w:rsidRPr="00055F56">
        <w:rPr>
          <w:strike/>
          <w:snapToGrid w:val="0"/>
        </w:rPr>
        <w:t>(ii)</w:t>
      </w:r>
      <w:r w:rsidRPr="00055F56">
        <w:rPr>
          <w:snapToGrid w:val="0"/>
          <w:u w:val="single"/>
        </w:rPr>
        <w:t>(2)</w:t>
      </w:r>
      <w:r w:rsidRPr="00055F56">
        <w:rPr>
          <w:snapToGrid w:val="0"/>
        </w:rPr>
        <w:tab/>
        <w:t>the result of ingestion of or exposure to some toxic or harmful or injury producing substance, element, or particle, including radiation, over a period of time as opposed to resulting from a sudden and fortuitous trauma.”</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6.</w:t>
      </w:r>
      <w:r w:rsidRPr="00055F56">
        <w:rPr>
          <w:snapToGrid w:val="0"/>
        </w:rPr>
        <w:tab/>
        <w:t>Section 18-9-130(A)(1) of the 1976 Code, as last amended by Act 216 of 2004, is further amended to read:</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5F56">
        <w:rPr>
          <w:snapToGrid w:val="0"/>
        </w:rPr>
        <w:tab/>
      </w:r>
      <w:r w:rsidRPr="00055F56">
        <w:rPr>
          <w:snapToGrid w:val="0"/>
        </w:rPr>
        <w:tab/>
        <w:t>“(1)</w:t>
      </w:r>
      <w:r w:rsidRPr="00055F56">
        <w:rPr>
          <w:snapToGrid w:val="0"/>
        </w:rPr>
        <w:tab/>
        <w:t xml:space="preserve">A notice of appeal from a judgment directing the payment of money does not stay the execution of the judgment unless the presiding judge before whom the judgment was obtained grants a stay of execution.  </w:t>
      </w:r>
      <w:r w:rsidRPr="00055F56">
        <w:rPr>
          <w:strike/>
        </w:rPr>
        <w:t xml:space="preserve">(2) A plaintiff may not enforce a sale of property after a notice of appeal is filed without giving an undertaking or bond to the defendant, with two good sureties, in double the appraised value of the property or double the amount of the judgment, conditioned to pay all damages the defendant may sustain by reason of the sale in case the judgment is reversed.  The plaintiff in such a case may not proceed with a sale of defendant’s property if the defendant enters into an undertaking, with good sureties, in double the appraised value of the property or the amount of the judgment, to pay the judgment with legal interest and all costs and damages the plaintiff may sustain by reason of the appeal or to produce the property levied on and submit to the sale if the judgment is confirmed. </w:t>
      </w:r>
      <w:r w:rsidRPr="00055F56">
        <w:rPr>
          <w:snapToGrid w:val="0"/>
          <w:u w:val="single"/>
        </w:rPr>
        <w:t>If the presiding judge grants a stay of execution and requires a bond or other surety to guarantee the payment of the judgment pending the appeal, the amount of the bond or other surety may not exceed the amount of the judgment or:</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055F56">
        <w:rPr>
          <w:snapToGrid w:val="0"/>
        </w:rPr>
        <w:tab/>
      </w:r>
      <w:r w:rsidRPr="00055F56">
        <w:rPr>
          <w:snapToGrid w:val="0"/>
        </w:rPr>
        <w:tab/>
      </w:r>
      <w:r w:rsidRPr="00055F56">
        <w:rPr>
          <w:snapToGrid w:val="0"/>
        </w:rPr>
        <w:tab/>
      </w:r>
      <w:r w:rsidRPr="00055F56">
        <w:rPr>
          <w:snapToGrid w:val="0"/>
          <w:u w:val="single"/>
        </w:rPr>
        <w:t>(a)</w:t>
      </w:r>
      <w:r w:rsidRPr="00055F56">
        <w:rPr>
          <w:snapToGrid w:val="0"/>
        </w:rPr>
        <w:tab/>
      </w:r>
      <w:r>
        <w:rPr>
          <w:snapToGrid w:val="0"/>
          <w:u w:val="single"/>
        </w:rPr>
        <w:t>twenty-</w:t>
      </w:r>
      <w:r w:rsidRPr="00055F56">
        <w:rPr>
          <w:snapToGrid w:val="0"/>
          <w:u w:val="single"/>
        </w:rPr>
        <w:t>five million dollars, whichever is less, for a business entity that employs more than fifty persons and has gross revenues exceeding five million dollars for the previous tax year; or</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055F56">
        <w:rPr>
          <w:snapToGrid w:val="0"/>
        </w:rPr>
        <w:tab/>
      </w:r>
      <w:r w:rsidRPr="00055F56">
        <w:rPr>
          <w:snapToGrid w:val="0"/>
        </w:rPr>
        <w:tab/>
      </w:r>
      <w:r w:rsidRPr="00055F56">
        <w:rPr>
          <w:snapToGrid w:val="0"/>
        </w:rPr>
        <w:tab/>
      </w:r>
      <w:r w:rsidRPr="00055F56">
        <w:rPr>
          <w:snapToGrid w:val="0"/>
          <w:u w:val="single"/>
        </w:rPr>
        <w:t>(b)</w:t>
      </w:r>
      <w:r w:rsidRPr="00055F56">
        <w:rPr>
          <w:snapToGrid w:val="0"/>
        </w:rPr>
        <w:tab/>
      </w:r>
      <w:r w:rsidRPr="00055F56">
        <w:rPr>
          <w:snapToGrid w:val="0"/>
          <w:u w:val="single"/>
        </w:rPr>
        <w:t>one million dollars, whichever is less, for all other entities or individuals.</w:t>
      </w:r>
      <w:r w:rsidRPr="00702151">
        <w:rPr>
          <w:snapToGrid w:val="0"/>
        </w:rPr>
        <w:t>”</w:t>
      </w: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E1456" w:rsidRPr="00055F56" w:rsidRDefault="009E1456" w:rsidP="009E1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5F56">
        <w:rPr>
          <w:snapToGrid w:val="0"/>
        </w:rPr>
        <w:t>SECTION</w:t>
      </w:r>
      <w:r w:rsidRPr="00055F56">
        <w:rPr>
          <w:snapToGrid w:val="0"/>
        </w:rPr>
        <w:tab/>
        <w:t>7.</w:t>
      </w:r>
      <w:r w:rsidRPr="00055F56">
        <w:rPr>
          <w:snapToGrid w:val="0"/>
        </w:rPr>
        <w:tab/>
        <w:t xml:space="preserve">This act takes effect January 1, 2012, and applies to all actions that accrue on or after the effective date except the provisions of SECTION 3 do not apply to any matter pending on the effective </w:t>
      </w:r>
      <w:r>
        <w:rPr>
          <w:snapToGrid w:val="0"/>
        </w:rPr>
        <w:t>date of this act.</w:t>
      </w:r>
    </w:p>
    <w:p w:rsidR="005F7E3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7E30" w:rsidRDefault="005F7E30" w:rsidP="0076410C">
      <w:pPr>
        <w:suppressAutoHyphens/>
      </w:pPr>
    </w:p>
    <w:sectPr w:rsidR="005F7E30" w:rsidSect="003832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72C0" w:rsidRDefault="00D972C0" w:rsidP="009F0C77">
      <w:r>
        <w:separator/>
      </w:r>
    </w:p>
  </w:endnote>
  <w:endnote w:type="continuationSeparator" w:id="0">
    <w:p w:rsidR="00D972C0" w:rsidRDefault="00D972C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2BEA89-94BE-4307-96FC-0154329B7B55}"/>
    <w:embedBold r:id="rId2" w:fontKey="{FB11E1FD-0538-4978-A0BA-59DFE4332FBF}"/>
  </w:font>
  <w:font w:name="Calibri">
    <w:panose1 w:val="020F0502020204030204"/>
    <w:charset w:val="00"/>
    <w:family w:val="swiss"/>
    <w:pitch w:val="variable"/>
    <w:sig w:usb0="A00002EF" w:usb1="4000207B" w:usb2="00000000" w:usb3="00000000" w:csb0="0000009F" w:csb1="00000000"/>
    <w:embedRegular r:id="rId3" w:fontKey="{A2753C62-980C-46AA-B7D7-CD7D2E24B331}"/>
  </w:font>
  <w:font w:name="Tahoma">
    <w:panose1 w:val="020B0604030504040204"/>
    <w:charset w:val="00"/>
    <w:family w:val="swiss"/>
    <w:pitch w:val="variable"/>
    <w:sig w:usb0="61002A87" w:usb1="80000000" w:usb2="00000008" w:usb3="00000000" w:csb0="000101FF" w:csb1="00000000"/>
    <w:embedRegular r:id="rId4" w:fontKey="{9BD5B506-102D-4A3A-985B-A978962CCF02}"/>
  </w:font>
  <w:font w:name="Cambria">
    <w:panose1 w:val="02040503050406030204"/>
    <w:charset w:val="00"/>
    <w:family w:val="roman"/>
    <w:pitch w:val="variable"/>
    <w:sig w:usb0="A00002EF" w:usb1="4000004B" w:usb2="00000000" w:usb3="00000000" w:csb0="0000009F" w:csb1="00000000"/>
    <w:embedRegular r:id="rId5" w:fontKey="{612C3DCC-56E1-4904-BC5F-F5AC1FEA60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4D0" w:rsidRPr="005F7E30" w:rsidRDefault="005F7E30" w:rsidP="005F7E30">
    <w:pPr>
      <w:pStyle w:val="Footer"/>
      <w:tabs>
        <w:tab w:val="clear" w:pos="4680"/>
        <w:tab w:val="clear" w:pos="9360"/>
        <w:tab w:val="center" w:pos="2995"/>
      </w:tabs>
      <w:spacing w:before="120"/>
    </w:pPr>
    <w:r>
      <w:t>[3375</w:t>
    </w:r>
    <w:r w:rsidR="003832C8">
      <w:t>-</w:t>
    </w:r>
    <w:fldSimple w:instr=" PAGE  \* MERGEFORMAT ">
      <w:r w:rsidR="0076410C">
        <w:rPr>
          <w:noProof/>
        </w:rPr>
        <w:t>1</w:t>
      </w:r>
    </w:fldSimple>
    <w:r w:rsidR="003832C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2C8" w:rsidRPr="005F7E30" w:rsidRDefault="003832C8" w:rsidP="005F7E30">
    <w:pPr>
      <w:pStyle w:val="Footer"/>
      <w:tabs>
        <w:tab w:val="clear" w:pos="4680"/>
        <w:tab w:val="clear" w:pos="9360"/>
        <w:tab w:val="center" w:pos="2995"/>
      </w:tabs>
      <w:spacing w:before="120"/>
    </w:pPr>
    <w:r>
      <w:t>[3375]</w:t>
    </w:r>
    <w:r>
      <w:tab/>
    </w:r>
    <w:fldSimple w:instr=" PAGE  \* MERGEFORMAT ">
      <w:r w:rsidR="0076410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72C0" w:rsidRDefault="00D972C0" w:rsidP="009F0C77">
      <w:r>
        <w:separator/>
      </w:r>
    </w:p>
  </w:footnote>
  <w:footnote w:type="continuationSeparator" w:id="0">
    <w:p w:rsidR="00D972C0" w:rsidRDefault="00D972C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5AHB11"/>
    <w:docVar w:name="CoverBillType" w:val="b"/>
    <w:docVar w:name="docpath" w:val="L:\Council\bills\MS\7075AHB11.DOCX"/>
    <w:docVar w:name="dvBillNumber" w:val="3375"/>
    <w:docVar w:name="dvBillNumberPrefix" w:val="H. "/>
    <w:docVar w:name="dvOriginalBody" w:val="House"/>
    <w:docVar w:name="dvSteno" w:val="MS"/>
    <w:docVar w:name="NameofBody" w:val="h"/>
    <w:docVar w:name="vgroup2" w:val="Council"/>
  </w:docVars>
  <w:rsids>
    <w:rsidRoot w:val="0040727C"/>
    <w:rsid w:val="00011869"/>
    <w:rsid w:val="00083F13"/>
    <w:rsid w:val="0009616E"/>
    <w:rsid w:val="000B4B7B"/>
    <w:rsid w:val="000E0106"/>
    <w:rsid w:val="000E1785"/>
    <w:rsid w:val="000F40FA"/>
    <w:rsid w:val="0010776B"/>
    <w:rsid w:val="00133E66"/>
    <w:rsid w:val="001435A3"/>
    <w:rsid w:val="001C440C"/>
    <w:rsid w:val="001D08F2"/>
    <w:rsid w:val="001D525B"/>
    <w:rsid w:val="001D7F4F"/>
    <w:rsid w:val="001E4030"/>
    <w:rsid w:val="002321B6"/>
    <w:rsid w:val="00250967"/>
    <w:rsid w:val="002543C8"/>
    <w:rsid w:val="00284AAE"/>
    <w:rsid w:val="002E5912"/>
    <w:rsid w:val="00325348"/>
    <w:rsid w:val="0032732C"/>
    <w:rsid w:val="00336AD0"/>
    <w:rsid w:val="0037079A"/>
    <w:rsid w:val="003832C8"/>
    <w:rsid w:val="003D01E8"/>
    <w:rsid w:val="003E5288"/>
    <w:rsid w:val="003F6D79"/>
    <w:rsid w:val="0040727C"/>
    <w:rsid w:val="004161CE"/>
    <w:rsid w:val="0041760A"/>
    <w:rsid w:val="00417C01"/>
    <w:rsid w:val="00421C6A"/>
    <w:rsid w:val="004809EE"/>
    <w:rsid w:val="004B6CF0"/>
    <w:rsid w:val="004C7358"/>
    <w:rsid w:val="004E7D54"/>
    <w:rsid w:val="005273C6"/>
    <w:rsid w:val="00530A69"/>
    <w:rsid w:val="00545593"/>
    <w:rsid w:val="00553B43"/>
    <w:rsid w:val="00571B04"/>
    <w:rsid w:val="00577C6C"/>
    <w:rsid w:val="005C1CBB"/>
    <w:rsid w:val="005C2FE2"/>
    <w:rsid w:val="005D58CE"/>
    <w:rsid w:val="005E2BC9"/>
    <w:rsid w:val="005F14D0"/>
    <w:rsid w:val="005F7E30"/>
    <w:rsid w:val="00605102"/>
    <w:rsid w:val="006215AA"/>
    <w:rsid w:val="006251CA"/>
    <w:rsid w:val="006913C9"/>
    <w:rsid w:val="0069470D"/>
    <w:rsid w:val="006C21AC"/>
    <w:rsid w:val="00734F00"/>
    <w:rsid w:val="00743721"/>
    <w:rsid w:val="0076410C"/>
    <w:rsid w:val="007A70AE"/>
    <w:rsid w:val="008362E8"/>
    <w:rsid w:val="008954F4"/>
    <w:rsid w:val="008A1768"/>
    <w:rsid w:val="008F4429"/>
    <w:rsid w:val="00927341"/>
    <w:rsid w:val="0094021A"/>
    <w:rsid w:val="009740B2"/>
    <w:rsid w:val="009C6A0B"/>
    <w:rsid w:val="009E1456"/>
    <w:rsid w:val="009F0899"/>
    <w:rsid w:val="009F0C77"/>
    <w:rsid w:val="009F4DD1"/>
    <w:rsid w:val="00A41684"/>
    <w:rsid w:val="00A429E2"/>
    <w:rsid w:val="00A445BB"/>
    <w:rsid w:val="00A64E80"/>
    <w:rsid w:val="00A72BCD"/>
    <w:rsid w:val="00A741D9"/>
    <w:rsid w:val="00A833AB"/>
    <w:rsid w:val="00A9741D"/>
    <w:rsid w:val="00AD4B17"/>
    <w:rsid w:val="00B233F9"/>
    <w:rsid w:val="00B412D4"/>
    <w:rsid w:val="00BA1F16"/>
    <w:rsid w:val="00BC5547"/>
    <w:rsid w:val="00BE3C22"/>
    <w:rsid w:val="00C0345E"/>
    <w:rsid w:val="00C3483A"/>
    <w:rsid w:val="00C61228"/>
    <w:rsid w:val="00C66D2E"/>
    <w:rsid w:val="00C74E9D"/>
    <w:rsid w:val="00C82FD3"/>
    <w:rsid w:val="00C92819"/>
    <w:rsid w:val="00CA1FE3"/>
    <w:rsid w:val="00CC6B7B"/>
    <w:rsid w:val="00CD2089"/>
    <w:rsid w:val="00D73A67"/>
    <w:rsid w:val="00D970A9"/>
    <w:rsid w:val="00D972C0"/>
    <w:rsid w:val="00DF3845"/>
    <w:rsid w:val="00E41911"/>
    <w:rsid w:val="00E92EEF"/>
    <w:rsid w:val="00EA434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A429E2"/>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A429E2"/>
    <w:rPr>
      <w:rFonts w:ascii="Tahoma" w:hAnsi="Tahoma" w:cs="Tahoma"/>
      <w:sz w:val="16"/>
      <w:szCs w:val="16"/>
    </w:rPr>
  </w:style>
  <w:style w:type="character" w:customStyle="1" w:styleId="BalloonTextChar">
    <w:name w:val="Balloon Text Char"/>
    <w:basedOn w:val="DefaultParagraphFont"/>
    <w:link w:val="BalloonText"/>
    <w:uiPriority w:val="99"/>
    <w:semiHidden/>
    <w:rsid w:val="00A429E2"/>
    <w:rPr>
      <w:rFonts w:ascii="Tahoma" w:eastAsia="Times New Roman" w:hAnsi="Tahoma" w:cs="Tahoma"/>
      <w:sz w:val="16"/>
      <w:szCs w:val="16"/>
    </w:rPr>
  </w:style>
  <w:style w:type="paragraph" w:customStyle="1" w:styleId="amargin1">
    <w:name w:val="amargin1"/>
    <w:basedOn w:val="Normal"/>
    <w:rsid w:val="006C21AC"/>
    <w:pPr>
      <w:spacing w:before="100" w:beforeAutospacing="1" w:after="100" w:afterAutospacing="1"/>
      <w:jc w:val="left"/>
    </w:pPr>
    <w:rPr>
      <w:sz w:val="24"/>
      <w:szCs w:val="24"/>
    </w:rPr>
  </w:style>
  <w:style w:type="character" w:styleId="FollowedHyperlink">
    <w:name w:val="FollowedHyperlink"/>
    <w:basedOn w:val="DefaultParagraphFont"/>
    <w:uiPriority w:val="99"/>
    <w:semiHidden/>
    <w:unhideWhenUsed/>
    <w:rsid w:val="00553B4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C7420-3CDC-41D6-AAE1-A51BB4EC0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2357</Words>
  <Characters>13441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2011-06-01T01:03:00Z</cp:lastPrinted>
  <dcterms:created xsi:type="dcterms:W3CDTF">2011-06-01T19:09:00Z</dcterms:created>
  <dcterms:modified xsi:type="dcterms:W3CDTF">2011-06-01T19:09:00Z</dcterms:modified>
</cp:coreProperties>
</file>