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0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CC"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3150, AS AMENDED, CODE OF LAWS OF SOUTH CAROLINA, 1976, RELATING TO WHEN ASSESSABLE TRANSFERS OF INTEREST OCCUR FOR PURPOSES OF APPRAISING REAL PROPERTY FOR IMPOSITION OF THE PROPERTY TAX, SO AS TO PROVIDE THAT AN ASSESSABLE TRANSFER OF INTEREST DOES NOT INCLUDE ANY TRANSFER WHEN THE BENEFICIAL OWNERSHIP OF THE PROPERTY HAS NOT CHANGED.</w:t>
      </w:r>
    </w:p>
    <w:p w:rsidR="002E5066"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5066"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066"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066"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25CC">
        <w:t>Section 12</w:t>
      </w:r>
      <w:r w:rsidR="008D25CC">
        <w:noBreakHyphen/>
        <w:t>37</w:t>
      </w:r>
      <w:r w:rsidR="008D25CC">
        <w:noBreakHyphen/>
        <w:t>3150(B) of the 1976 Code, as last amended by Act 275 of 2010, is further amended to read:</w:t>
      </w:r>
    </w:p>
    <w:p w:rsidR="008D25CC" w:rsidRDefault="008D2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D15680">
        <w:rPr>
          <w:color w:val="000000" w:themeColor="text1"/>
          <w:u w:color="000000" w:themeColor="text1"/>
        </w:rPr>
        <w:t xml:space="preserve">An assessable transfer of interest does not include: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w:t>
      </w:r>
      <w:r>
        <w:rPr>
          <w:color w:val="000000" w:themeColor="text1"/>
          <w:u w:color="000000" w:themeColor="text1"/>
        </w:rPr>
        <w:tab/>
      </w:r>
      <w:r w:rsidRPr="00D15680">
        <w:rPr>
          <w:color w:val="000000" w:themeColor="text1"/>
          <w:u w:color="000000" w:themeColor="text1"/>
        </w:rPr>
        <w:t xml:space="preserve">transfers not subject to federal income tax in the following circumstances: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(a)</w:t>
      </w:r>
      <w:r>
        <w:rPr>
          <w:color w:val="000000" w:themeColor="text1"/>
          <w:u w:color="000000" w:themeColor="text1"/>
        </w:rPr>
        <w:tab/>
      </w:r>
      <w:r w:rsidRPr="00D15680">
        <w:rPr>
          <w:color w:val="000000" w:themeColor="text1"/>
          <w:u w:color="000000" w:themeColor="text1"/>
        </w:rPr>
        <w:t>1033 (Conversions</w:t>
      </w:r>
      <w:r>
        <w:rPr>
          <w:color w:val="000000" w:themeColor="text1"/>
          <w:u w:color="000000" w:themeColor="text1"/>
        </w:rPr>
        <w:noBreakHyphen/>
      </w:r>
      <w:r w:rsidRPr="00D15680">
        <w:rPr>
          <w:color w:val="000000" w:themeColor="text1"/>
          <w:u w:color="000000" w:themeColor="text1"/>
        </w:rPr>
        <w:t xml:space="preserve">Fire and Insurance Proceeds to Rebuild);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(b)</w:t>
      </w:r>
      <w:r>
        <w:rPr>
          <w:color w:val="000000" w:themeColor="text1"/>
          <w:u w:color="000000" w:themeColor="text1"/>
        </w:rPr>
        <w:tab/>
      </w:r>
      <w:r w:rsidRPr="00D15680">
        <w:rPr>
          <w:color w:val="000000" w:themeColor="text1"/>
          <w:u w:color="000000" w:themeColor="text1"/>
        </w:rPr>
        <w:t xml:space="preserve">1041 (Transfers of Property Between Spouses or Incident to Divorce);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(c)</w:t>
      </w:r>
      <w:r>
        <w:rPr>
          <w:color w:val="000000" w:themeColor="text1"/>
          <w:u w:color="000000" w:themeColor="text1"/>
        </w:rPr>
        <w:tab/>
      </w:r>
      <w:r w:rsidRPr="00D15680">
        <w:rPr>
          <w:color w:val="000000" w:themeColor="text1"/>
          <w:u w:color="000000" w:themeColor="text1"/>
        </w:rPr>
        <w:t xml:space="preserve">351 (Transfer to a Corporation Controlled by Transferor);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(d)</w:t>
      </w:r>
      <w:r>
        <w:rPr>
          <w:color w:val="000000" w:themeColor="text1"/>
          <w:u w:color="000000" w:themeColor="text1"/>
        </w:rPr>
        <w:tab/>
      </w:r>
      <w:r w:rsidRPr="00D15680">
        <w:rPr>
          <w:color w:val="000000" w:themeColor="text1"/>
          <w:u w:color="000000" w:themeColor="text1"/>
        </w:rPr>
        <w:t xml:space="preserve">355 (Distribution by a Controlled Corporation);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15680">
        <w:rPr>
          <w:color w:val="000000" w:themeColor="text1"/>
          <w:u w:color="000000" w:themeColor="text1"/>
        </w:rPr>
        <w:t xml:space="preserve">368 (Corporate Reorganizations);  or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(f)</w:t>
      </w:r>
      <w:r>
        <w:rPr>
          <w:color w:val="000000" w:themeColor="text1"/>
          <w:u w:color="000000" w:themeColor="text1"/>
        </w:rPr>
        <w:tab/>
      </w:r>
      <w:r w:rsidRPr="00D15680">
        <w:rPr>
          <w:color w:val="000000" w:themeColor="text1"/>
          <w:u w:color="000000" w:themeColor="text1"/>
        </w:rPr>
        <w:t xml:space="preserve">721 (Nonrecognition of Gain or Loss on a Contribution to a Partnership).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680">
        <w:rPr>
          <w:color w:val="000000" w:themeColor="text1"/>
          <w:u w:color="000000" w:themeColor="text1"/>
        </w:rPr>
        <w:t>Number references in the above subitems are to sections of the Internal Revenue Code of 1986, as defined in Section 12</w:t>
      </w:r>
      <w:r>
        <w:rPr>
          <w:color w:val="000000" w:themeColor="text1"/>
          <w:u w:color="000000" w:themeColor="text1"/>
        </w:rPr>
        <w:noBreakHyphen/>
      </w:r>
      <w:r w:rsidRPr="00D15680">
        <w:rPr>
          <w:color w:val="000000" w:themeColor="text1"/>
          <w:u w:color="000000" w:themeColor="text1"/>
        </w:rPr>
        <w:t>6</w:t>
      </w:r>
      <w:r>
        <w:rPr>
          <w:color w:val="000000" w:themeColor="text1"/>
          <w:u w:color="000000" w:themeColor="text1"/>
        </w:rPr>
        <w:noBreakHyphen/>
      </w:r>
      <w:r w:rsidRPr="00D15680">
        <w:rPr>
          <w:color w:val="000000" w:themeColor="text1"/>
          <w:u w:color="000000" w:themeColor="text1"/>
        </w:rPr>
        <w:t xml:space="preserve">40;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15680">
        <w:rPr>
          <w:color w:val="000000" w:themeColor="text1"/>
          <w:u w:color="000000" w:themeColor="text1"/>
        </w:rPr>
        <w:t>(2)</w:t>
      </w:r>
      <w:r>
        <w:rPr>
          <w:color w:val="000000" w:themeColor="text1"/>
          <w:u w:color="000000" w:themeColor="text1"/>
        </w:rPr>
        <w:tab/>
      </w:r>
      <w:r w:rsidRPr="00D15680">
        <w:rPr>
          <w:color w:val="000000" w:themeColor="text1"/>
          <w:u w:color="000000" w:themeColor="text1"/>
        </w:rPr>
        <w:t xml:space="preserve">a transfer of that portion of property subject to a life estate or life lease retained by the transferor, until expiration or termination of the life estate or life lease;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(3)</w:t>
      </w:r>
      <w:r>
        <w:rPr>
          <w:color w:val="000000" w:themeColor="text1"/>
          <w:u w:color="000000" w:themeColor="text1"/>
        </w:rPr>
        <w:tab/>
      </w:r>
      <w:r w:rsidRPr="00D15680">
        <w:rPr>
          <w:color w:val="000000" w:themeColor="text1"/>
          <w:u w:color="000000" w:themeColor="text1"/>
        </w:rPr>
        <w:t xml:space="preserve">a transfer through foreclosure or forfeiture of a recorded instrument or through deed or conveyance in lieu of a foreclosure or forfeiture, until the redemption period has expired;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(4)</w:t>
      </w:r>
      <w:r>
        <w:rPr>
          <w:color w:val="000000" w:themeColor="text1"/>
          <w:u w:color="000000" w:themeColor="text1"/>
        </w:rPr>
        <w:tab/>
      </w:r>
      <w:r w:rsidRPr="00D15680">
        <w:rPr>
          <w:color w:val="000000" w:themeColor="text1"/>
          <w:u w:color="000000" w:themeColor="text1"/>
        </w:rPr>
        <w:t xml:space="preserve">a transfer by redemption by the person to whom taxes are assessed of property previously sold for delinquent taxes;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(5)</w:t>
      </w:r>
      <w:r>
        <w:rPr>
          <w:color w:val="000000" w:themeColor="text1"/>
          <w:u w:color="000000" w:themeColor="text1"/>
        </w:rPr>
        <w:tab/>
      </w:r>
      <w:r w:rsidRPr="00D15680">
        <w:rPr>
          <w:color w:val="000000" w:themeColor="text1"/>
          <w:u w:color="000000" w:themeColor="text1"/>
        </w:rPr>
        <w:t>a conveyance to a trust if the settlor or the settlor</w:t>
      </w:r>
      <w:r w:rsidRPr="008D25CC">
        <w:rPr>
          <w:color w:val="000000" w:themeColor="text1"/>
          <w:u w:color="000000" w:themeColor="text1"/>
        </w:rPr>
        <w:t>’</w:t>
      </w:r>
      <w:r w:rsidRPr="00D15680">
        <w:rPr>
          <w:color w:val="000000" w:themeColor="text1"/>
          <w:u w:color="000000" w:themeColor="text1"/>
        </w:rPr>
        <w:t>s spouse, or both, convey the property to the trust and the sole present beneficiary of the trust is the settlor or the settlor</w:t>
      </w:r>
      <w:r w:rsidRPr="008D25CC">
        <w:rPr>
          <w:color w:val="000000" w:themeColor="text1"/>
          <w:u w:color="000000" w:themeColor="text1"/>
        </w:rPr>
        <w:t>’</w:t>
      </w:r>
      <w:r w:rsidRPr="00D15680">
        <w:rPr>
          <w:color w:val="000000" w:themeColor="text1"/>
          <w:u w:color="000000" w:themeColor="text1"/>
        </w:rPr>
        <w:t xml:space="preserve">s spouse, or both;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(6)</w:t>
      </w:r>
      <w:r>
        <w:rPr>
          <w:color w:val="000000" w:themeColor="text1"/>
          <w:u w:color="000000" w:themeColor="text1"/>
        </w:rPr>
        <w:tab/>
      </w:r>
      <w:r w:rsidRPr="00D15680">
        <w:rPr>
          <w:color w:val="000000" w:themeColor="text1"/>
          <w:u w:color="000000" w:themeColor="text1"/>
        </w:rPr>
        <w:t xml:space="preserve">a transfer for security or an assignment or discharge of a security interest;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(7)</w:t>
      </w:r>
      <w:r>
        <w:rPr>
          <w:color w:val="000000" w:themeColor="text1"/>
          <w:u w:color="000000" w:themeColor="text1"/>
        </w:rPr>
        <w:tab/>
      </w:r>
      <w:r w:rsidRPr="00D15680">
        <w:rPr>
          <w:color w:val="000000" w:themeColor="text1"/>
          <w:u w:color="000000" w:themeColor="text1"/>
        </w:rPr>
        <w:t xml:space="preserve">a transfer of real property or other ownership interests among members of an affiliated group.  As used in this item, </w:t>
      </w:r>
      <w:r w:rsidRPr="008D25CC">
        <w:rPr>
          <w:color w:val="000000" w:themeColor="text1"/>
          <w:u w:color="000000" w:themeColor="text1"/>
        </w:rPr>
        <w:t>‘</w:t>
      </w:r>
      <w:r w:rsidRPr="00D15680">
        <w:rPr>
          <w:color w:val="000000" w:themeColor="text1"/>
          <w:u w:color="000000" w:themeColor="text1"/>
        </w:rPr>
        <w:t>affiliated group</w:t>
      </w:r>
      <w:r w:rsidRPr="008D25CC">
        <w:rPr>
          <w:color w:val="000000" w:themeColor="text1"/>
          <w:u w:color="000000" w:themeColor="text1"/>
        </w:rPr>
        <w:t>’</w:t>
      </w:r>
      <w:r w:rsidRPr="00D15680">
        <w:rPr>
          <w:color w:val="000000" w:themeColor="text1"/>
          <w:u w:color="000000" w:themeColor="text1"/>
        </w:rPr>
        <w:t xml:space="preserve"> is as defined in Section 1504 of the Internal Revenue Code as defined in Section 12</w:t>
      </w:r>
      <w:r>
        <w:rPr>
          <w:color w:val="000000" w:themeColor="text1"/>
          <w:u w:color="000000" w:themeColor="text1"/>
        </w:rPr>
        <w:noBreakHyphen/>
      </w:r>
      <w:r w:rsidRPr="00D15680">
        <w:rPr>
          <w:color w:val="000000" w:themeColor="text1"/>
          <w:u w:color="000000" w:themeColor="text1"/>
        </w:rPr>
        <w:t>6</w:t>
      </w:r>
      <w:r>
        <w:rPr>
          <w:color w:val="000000" w:themeColor="text1"/>
          <w:u w:color="000000" w:themeColor="text1"/>
        </w:rPr>
        <w:noBreakHyphen/>
      </w:r>
      <w:r w:rsidRPr="00D15680">
        <w:rPr>
          <w:color w:val="000000" w:themeColor="text1"/>
          <w:u w:color="000000" w:themeColor="text1"/>
        </w:rPr>
        <w:t>40.  Upon request of the applicable property tax assessor, a corporation shall furnish proof within forty</w:t>
      </w:r>
      <w:r>
        <w:rPr>
          <w:color w:val="000000" w:themeColor="text1"/>
          <w:u w:color="000000" w:themeColor="text1"/>
        </w:rPr>
        <w:noBreakHyphen/>
      </w:r>
      <w:r w:rsidRPr="00D15680">
        <w:rPr>
          <w:color w:val="000000" w:themeColor="text1"/>
          <w:u w:color="000000" w:themeColor="text1"/>
        </w:rPr>
        <w:t>five days that a transfer meets the requirements of this item.  A corporation that fails to comply with this request is subject to a civil penalty as provided in Section 12</w:t>
      </w:r>
      <w:r>
        <w:rPr>
          <w:color w:val="000000" w:themeColor="text1"/>
          <w:u w:color="000000" w:themeColor="text1"/>
        </w:rPr>
        <w:noBreakHyphen/>
      </w:r>
      <w:r w:rsidRPr="00D15680">
        <w:rPr>
          <w:color w:val="000000" w:themeColor="text1"/>
          <w:u w:color="000000" w:themeColor="text1"/>
        </w:rPr>
        <w:t>37</w:t>
      </w:r>
      <w:r>
        <w:rPr>
          <w:color w:val="000000" w:themeColor="text1"/>
          <w:u w:color="000000" w:themeColor="text1"/>
        </w:rPr>
        <w:noBreakHyphen/>
      </w:r>
      <w:r w:rsidRPr="00D15680">
        <w:rPr>
          <w:color w:val="000000" w:themeColor="text1"/>
          <w:u w:color="000000" w:themeColor="text1"/>
        </w:rPr>
        <w:t xml:space="preserve">3160(B);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(8)</w:t>
      </w:r>
      <w:r>
        <w:rPr>
          <w:color w:val="000000" w:themeColor="text1"/>
          <w:u w:color="000000" w:themeColor="text1"/>
        </w:rPr>
        <w:tab/>
      </w:r>
      <w:r w:rsidRPr="00D15680">
        <w:rPr>
          <w:color w:val="000000" w:themeColor="text1"/>
          <w:u w:color="000000" w:themeColor="text1"/>
        </w:rPr>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Pr>
          <w:color w:val="000000" w:themeColor="text1"/>
          <w:u w:color="000000" w:themeColor="text1"/>
        </w:rPr>
        <w:noBreakHyphen/>
      </w:r>
      <w:r w:rsidRPr="00D15680">
        <w:rPr>
          <w:color w:val="000000" w:themeColor="text1"/>
          <w:u w:color="000000" w:themeColor="text1"/>
        </w:rPr>
        <w:t>five days that a transfer meets the requirements of this item.  A corporation, partnership, limited liability company, limited liability partnership, or other legal entity that fails to comply with this request is subject to a civil penalty as provided in Section 12</w:t>
      </w:r>
      <w:r>
        <w:rPr>
          <w:color w:val="000000" w:themeColor="text1"/>
          <w:u w:color="000000" w:themeColor="text1"/>
        </w:rPr>
        <w:noBreakHyphen/>
      </w:r>
      <w:r w:rsidRPr="00D15680">
        <w:rPr>
          <w:color w:val="000000" w:themeColor="text1"/>
          <w:u w:color="000000" w:themeColor="text1"/>
        </w:rPr>
        <w:t>37</w:t>
      </w:r>
      <w:r>
        <w:rPr>
          <w:color w:val="000000" w:themeColor="text1"/>
          <w:u w:color="000000" w:themeColor="text1"/>
        </w:rPr>
        <w:noBreakHyphen/>
      </w:r>
      <w:r w:rsidRPr="00D15680">
        <w:rPr>
          <w:color w:val="000000" w:themeColor="text1"/>
          <w:u w:color="000000" w:themeColor="text1"/>
        </w:rPr>
        <w:t xml:space="preserve">3160(B);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(9)</w:t>
      </w:r>
      <w:r>
        <w:rPr>
          <w:color w:val="000000" w:themeColor="text1"/>
          <w:u w:color="000000" w:themeColor="text1"/>
        </w:rPr>
        <w:tab/>
      </w:r>
      <w:r w:rsidRPr="00D15680">
        <w:rPr>
          <w:color w:val="000000" w:themeColor="text1"/>
          <w:u w:color="000000" w:themeColor="text1"/>
        </w:rPr>
        <w:t xml:space="preserve">a transfer of an interest in a timeshare unit by deed or lease;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(10)</w:t>
      </w:r>
      <w:r>
        <w:rPr>
          <w:color w:val="000000" w:themeColor="text1"/>
          <w:u w:color="000000" w:themeColor="text1"/>
        </w:rPr>
        <w:tab/>
      </w:r>
      <w:r w:rsidRPr="00D15680">
        <w:rPr>
          <w:color w:val="000000" w:themeColor="text1"/>
          <w:u w:color="000000" w:themeColor="text1"/>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Pr>
          <w:color w:val="000000" w:themeColor="text1"/>
          <w:u w:color="000000" w:themeColor="text1"/>
        </w:rPr>
        <w:noBreakHyphen/>
      </w:r>
      <w:r w:rsidRPr="00D15680">
        <w:rPr>
          <w:color w:val="000000" w:themeColor="text1"/>
          <w:u w:color="000000" w:themeColor="text1"/>
        </w:rPr>
        <w:t xml:space="preserve">five year period, is not more than fifty percent of the entire fee simple title to the real estate;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(11)</w:t>
      </w:r>
      <w:r>
        <w:rPr>
          <w:color w:val="000000" w:themeColor="text1"/>
          <w:u w:color="000000" w:themeColor="text1"/>
        </w:rPr>
        <w:tab/>
      </w:r>
      <w:r w:rsidRPr="00D15680">
        <w:rPr>
          <w:color w:val="000000" w:themeColor="text1"/>
          <w:u w:color="000000" w:themeColor="text1"/>
        </w:rPr>
        <w:t xml:space="preserve">a transfer to a single member limited liability company, not taxed separately as a corporation, by its single member or a </w:t>
      </w:r>
      <w:r w:rsidRPr="00D15680">
        <w:rPr>
          <w:color w:val="000000" w:themeColor="text1"/>
          <w:u w:color="000000" w:themeColor="text1"/>
        </w:rPr>
        <w:lastRenderedPageBreak/>
        <w:t>transfer from a single member limited liability company, not taxed separately as a corporation, to its single member, as provided in Section 12</w:t>
      </w:r>
      <w:r>
        <w:rPr>
          <w:color w:val="000000" w:themeColor="text1"/>
          <w:u w:color="000000" w:themeColor="text1"/>
        </w:rPr>
        <w:noBreakHyphen/>
      </w:r>
      <w:r w:rsidRPr="00D15680">
        <w:rPr>
          <w:color w:val="000000" w:themeColor="text1"/>
          <w:u w:color="000000" w:themeColor="text1"/>
        </w:rPr>
        <w:t>2</w:t>
      </w:r>
      <w:r>
        <w:rPr>
          <w:color w:val="000000" w:themeColor="text1"/>
          <w:u w:color="000000" w:themeColor="text1"/>
        </w:rPr>
        <w:noBreakHyphen/>
      </w:r>
      <w:r w:rsidRPr="00D15680">
        <w:rPr>
          <w:color w:val="000000" w:themeColor="text1"/>
          <w:u w:color="000000" w:themeColor="text1"/>
        </w:rPr>
        <w:t xml:space="preserve">25(B)(1);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(12)</w:t>
      </w:r>
      <w:r>
        <w:rPr>
          <w:color w:val="000000" w:themeColor="text1"/>
          <w:u w:color="000000" w:themeColor="text1"/>
        </w:rPr>
        <w:tab/>
      </w:r>
      <w:r w:rsidRPr="00D15680">
        <w:rPr>
          <w:color w:val="000000" w:themeColor="text1"/>
          <w:u w:color="000000" w:themeColor="text1"/>
        </w:rPr>
        <w:t xml:space="preserve">a conveyance, assignment, release, or modification of an easement, including, but not limited to: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(a)</w:t>
      </w:r>
      <w:r>
        <w:rPr>
          <w:color w:val="000000" w:themeColor="text1"/>
          <w:u w:color="000000" w:themeColor="text1"/>
        </w:rPr>
        <w:tab/>
      </w:r>
      <w:r w:rsidRPr="00D15680">
        <w:rPr>
          <w:color w:val="000000" w:themeColor="text1"/>
          <w:u w:color="000000" w:themeColor="text1"/>
        </w:rPr>
        <w:t xml:space="preserve">a conservation easement, as defined in Chapter 8, Title 27;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(b)</w:t>
      </w:r>
      <w:r>
        <w:rPr>
          <w:color w:val="000000" w:themeColor="text1"/>
          <w:u w:color="000000" w:themeColor="text1"/>
        </w:rPr>
        <w:tab/>
      </w:r>
      <w:r w:rsidRPr="00D15680">
        <w:rPr>
          <w:color w:val="000000" w:themeColor="text1"/>
          <w:u w:color="000000" w:themeColor="text1"/>
        </w:rPr>
        <w:t xml:space="preserve">a utility easement;  or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(c)</w:t>
      </w:r>
      <w:r>
        <w:rPr>
          <w:color w:val="000000" w:themeColor="text1"/>
          <w:u w:color="000000" w:themeColor="text1"/>
        </w:rPr>
        <w:tab/>
      </w:r>
      <w:r w:rsidRPr="00D15680">
        <w:rPr>
          <w:color w:val="000000" w:themeColor="text1"/>
          <w:u w:color="000000" w:themeColor="text1"/>
        </w:rPr>
        <w:t xml:space="preserve">an easement for ingress, egress, or regress;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(13)</w:t>
      </w:r>
      <w:r>
        <w:rPr>
          <w:color w:val="000000" w:themeColor="text1"/>
          <w:u w:color="000000" w:themeColor="text1"/>
        </w:rPr>
        <w:tab/>
      </w:r>
      <w:r w:rsidRPr="00D15680">
        <w:rPr>
          <w:color w:val="000000" w:themeColor="text1"/>
          <w:u w:color="000000" w:themeColor="text1"/>
        </w:rPr>
        <w:t xml:space="preserve">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w:t>
      </w:r>
      <w:r w:rsidRPr="008D25CC">
        <w:rPr>
          <w:strike/>
          <w:color w:val="000000" w:themeColor="text1"/>
          <w:u w:color="000000" w:themeColor="text1"/>
        </w:rPr>
        <w:t>or</w:t>
      </w:r>
      <w:r w:rsidRPr="00D15680">
        <w:rPr>
          <w:color w:val="000000" w:themeColor="text1"/>
          <w:u w:color="000000" w:themeColor="text1"/>
        </w:rPr>
        <w:t xml:space="preserve"> </w:t>
      </w:r>
    </w:p>
    <w:p w:rsidR="008D25CC"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(14)</w:t>
      </w:r>
      <w:r>
        <w:rPr>
          <w:color w:val="000000" w:themeColor="text1"/>
          <w:u w:color="000000" w:themeColor="text1"/>
        </w:rPr>
        <w:tab/>
      </w:r>
      <w:r w:rsidRPr="00D15680">
        <w:rPr>
          <w:color w:val="000000" w:themeColor="text1"/>
          <w:u w:color="000000" w:themeColor="text1"/>
        </w:rPr>
        <w:t>the execution or recording of a deed to real property for the purpose of creating or terminating a joint tenancy with rights of survivorship, provided the grantors and grantees are the same</w:t>
      </w:r>
      <w:r>
        <w:rPr>
          <w:color w:val="000000" w:themeColor="text1"/>
          <w:u w:val="single" w:color="000000" w:themeColor="text1"/>
        </w:rPr>
        <w:t>; or</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5CC">
        <w:rPr>
          <w:color w:val="000000" w:themeColor="text1"/>
          <w:u w:color="000000" w:themeColor="text1"/>
        </w:rPr>
        <w:tab/>
      </w:r>
      <w:r w:rsidRPr="008D25CC">
        <w:rPr>
          <w:color w:val="000000" w:themeColor="text1"/>
          <w:u w:color="000000" w:themeColor="text1"/>
        </w:rPr>
        <w:tab/>
      </w:r>
      <w:r>
        <w:rPr>
          <w:color w:val="000000" w:themeColor="text1"/>
          <w:u w:val="single" w:color="000000" w:themeColor="text1"/>
        </w:rPr>
        <w:t>(15)</w:t>
      </w:r>
      <w:r w:rsidRPr="008D25CC">
        <w:rPr>
          <w:color w:val="000000" w:themeColor="text1"/>
          <w:u w:color="000000" w:themeColor="text1"/>
        </w:rPr>
        <w:tab/>
      </w:r>
      <w:r>
        <w:rPr>
          <w:color w:val="000000" w:themeColor="text1"/>
          <w:u w:val="single" w:color="000000" w:themeColor="text1"/>
        </w:rPr>
        <w:t>a transfer, regardless of the ownership entities, where the beneficial ownership of the property has not changed</w:t>
      </w:r>
      <w:r w:rsidRPr="00D15680">
        <w:rPr>
          <w:color w:val="000000" w:themeColor="text1"/>
          <w:u w:color="000000" w:themeColor="text1"/>
        </w:rPr>
        <w:t>.</w:t>
      </w:r>
      <w:r>
        <w:rPr>
          <w:color w:val="000000" w:themeColor="text1"/>
          <w:u w:color="000000" w:themeColor="text1"/>
        </w:rPr>
        <w:t>”</w:t>
      </w:r>
    </w:p>
    <w:p w:rsidR="008D25CC" w:rsidRDefault="008D2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25CC">
        <w:t>2</w:t>
      </w:r>
      <w:r>
        <w:t>.</w:t>
      </w:r>
      <w:r>
        <w:tab/>
        <w:t>This act takes effect upon ap</w:t>
      </w:r>
      <w:r w:rsidR="0028094E">
        <w:t>p</w:t>
      </w:r>
      <w:r>
        <w:t>roval by the Governor</w:t>
      </w:r>
      <w:r w:rsidR="008D25CC">
        <w:t xml:space="preserve"> </w:t>
      </w:r>
      <w:r w:rsidR="0028094E">
        <w:t>and the provisions of Section 12-37-3150(15)</w:t>
      </w:r>
      <w:r w:rsidR="004D41FA">
        <w:t>,</w:t>
      </w:r>
      <w:r w:rsidR="0028094E">
        <w:t xml:space="preserve"> as added by this </w:t>
      </w:r>
      <w:r w:rsidR="002C340E">
        <w:t>act</w:t>
      </w:r>
      <w:r w:rsidR="004D41FA">
        <w:t>,</w:t>
      </w:r>
      <w:r w:rsidR="002C340E">
        <w:t xml:space="preserve"> apply for assessable transfers of interest occurring after 2008</w:t>
      </w:r>
      <w:r>
        <w:t>.</w:t>
      </w:r>
    </w:p>
    <w:p w:rsidR="003A277E" w:rsidRDefault="008D2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77E" w:rsidRDefault="003A277E" w:rsidP="003A277E">
      <w:pPr>
        <w:suppressAutoHyphens/>
      </w:pPr>
    </w:p>
    <w:sectPr w:rsidR="003A277E" w:rsidSect="003A27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94E" w:rsidRDefault="0028094E" w:rsidP="009F0C77">
      <w:r>
        <w:separator/>
      </w:r>
    </w:p>
  </w:endnote>
  <w:endnote w:type="continuationSeparator" w:id="0">
    <w:p w:rsidR="0028094E" w:rsidRDefault="002809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BF1EF1-23D2-441B-AE4F-52217A8D8889}"/>
    <w:embedBold r:id="rId2" w:fontKey="{6C72C038-25D2-410F-AEC4-F2B172CB6B01}"/>
  </w:font>
  <w:font w:name="Calibri">
    <w:panose1 w:val="020F0502020204030204"/>
    <w:charset w:val="00"/>
    <w:family w:val="swiss"/>
    <w:pitch w:val="variable"/>
    <w:sig w:usb0="A00002EF" w:usb1="4000207B" w:usb2="00000000" w:usb3="00000000" w:csb0="0000009F" w:csb1="00000000"/>
    <w:embedRegular r:id="rId3" w:fontKey="{CF3D0216-9E1D-48FE-9471-64D1DC657658}"/>
  </w:font>
  <w:font w:name="Cambria">
    <w:panose1 w:val="02040503050406030204"/>
    <w:charset w:val="00"/>
    <w:family w:val="roman"/>
    <w:pitch w:val="variable"/>
    <w:sig w:usb0="A00002EF" w:usb1="4000004B" w:usb2="00000000" w:usb3="00000000" w:csb0="0000009F" w:csb1="00000000"/>
    <w:embedRegular r:id="rId4" w:fontKey="{2ADC562E-37C4-4D2F-B711-645398394B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22" w:rsidRPr="003A277E" w:rsidRDefault="003A277E" w:rsidP="003A277E">
    <w:pPr>
      <w:pStyle w:val="Footer"/>
      <w:tabs>
        <w:tab w:val="clear" w:pos="4680"/>
        <w:tab w:val="clear" w:pos="9360"/>
        <w:tab w:val="center" w:pos="2995"/>
      </w:tabs>
      <w:spacing w:before="120"/>
    </w:pPr>
    <w:r>
      <w:t>[3804]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94E" w:rsidRDefault="0028094E" w:rsidP="009F0C77">
      <w:r>
        <w:separator/>
      </w:r>
    </w:p>
  </w:footnote>
  <w:footnote w:type="continuationSeparator" w:id="0">
    <w:p w:rsidR="0028094E" w:rsidRDefault="002809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79HTC11"/>
    <w:docVar w:name="CoverBillType" w:val="b"/>
    <w:docVar w:name="docpath" w:val="L:\Council\bills\BBM\10079HTC11.DOCX"/>
    <w:docVar w:name="dvBillNumber" w:val="3804"/>
    <w:docVar w:name="dvBillNumberPrefix" w:val="H. "/>
    <w:docVar w:name="dvOriginalBody" w:val="House"/>
    <w:docVar w:name="dvSteno" w:val="BBM"/>
    <w:docVar w:name="NameofBody" w:val="h"/>
    <w:docVar w:name="vgroup2" w:val="Council"/>
  </w:docVars>
  <w:rsids>
    <w:rsidRoot w:val="007C0FFB"/>
    <w:rsid w:val="00011869"/>
    <w:rsid w:val="000E1785"/>
    <w:rsid w:val="000F40FA"/>
    <w:rsid w:val="0010776B"/>
    <w:rsid w:val="00131E18"/>
    <w:rsid w:val="00133E66"/>
    <w:rsid w:val="001435A3"/>
    <w:rsid w:val="001D08F2"/>
    <w:rsid w:val="001D525B"/>
    <w:rsid w:val="001D7F4F"/>
    <w:rsid w:val="002321B6"/>
    <w:rsid w:val="00250967"/>
    <w:rsid w:val="002543C8"/>
    <w:rsid w:val="0028094E"/>
    <w:rsid w:val="00284AAE"/>
    <w:rsid w:val="002C340E"/>
    <w:rsid w:val="002E5066"/>
    <w:rsid w:val="002E5912"/>
    <w:rsid w:val="00325348"/>
    <w:rsid w:val="0032732C"/>
    <w:rsid w:val="00336AD0"/>
    <w:rsid w:val="0037079A"/>
    <w:rsid w:val="003A277E"/>
    <w:rsid w:val="003D01E8"/>
    <w:rsid w:val="003E5288"/>
    <w:rsid w:val="003F6D79"/>
    <w:rsid w:val="0041760A"/>
    <w:rsid w:val="00417C01"/>
    <w:rsid w:val="004809EE"/>
    <w:rsid w:val="004D41FA"/>
    <w:rsid w:val="004E7D54"/>
    <w:rsid w:val="005273C6"/>
    <w:rsid w:val="00530A69"/>
    <w:rsid w:val="00545593"/>
    <w:rsid w:val="00577C6C"/>
    <w:rsid w:val="005C2FE2"/>
    <w:rsid w:val="005D1D22"/>
    <w:rsid w:val="005E2BC9"/>
    <w:rsid w:val="00605102"/>
    <w:rsid w:val="006215AA"/>
    <w:rsid w:val="006913C9"/>
    <w:rsid w:val="0069470D"/>
    <w:rsid w:val="00734F00"/>
    <w:rsid w:val="007A70AE"/>
    <w:rsid w:val="007C0FFB"/>
    <w:rsid w:val="008362E8"/>
    <w:rsid w:val="008464D4"/>
    <w:rsid w:val="008A1768"/>
    <w:rsid w:val="008D25CC"/>
    <w:rsid w:val="008F4429"/>
    <w:rsid w:val="0094021A"/>
    <w:rsid w:val="009C6A0B"/>
    <w:rsid w:val="009D2DEF"/>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404D"/>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E1417-D2E9-4362-BBEA-54BD968A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2011-02-14T19:28:00Z</cp:lastPrinted>
  <dcterms:created xsi:type="dcterms:W3CDTF">2011-03-03T15:41:00Z</dcterms:created>
  <dcterms:modified xsi:type="dcterms:W3CDTF">2011-03-03T15:41:00Z</dcterms:modified>
</cp:coreProperties>
</file>