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6E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E1" w:rsidRDefault="00C46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AIR POLLUTION CONTROL REGULATIONS AND STANDARDS; AND STANDARDS FOR PERFORMANCE FOR ASBESTOS PROJECTS, DESIGNATED AS REGULATION DOCUMENT NUMBER 4130, PURSUANT TO THE PROVISIONS OF ARTICLE 1, CHAPTER 23, TITLE 1 OF THE 1976 CODE.</w:t>
      </w: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and Standards for Performance for Asbestos Projects, designated as Regulation Document Number 4130, and submitted to the General Assembly pursuant to the provisions of Article 1, Chapter 23, Title 1 of the 1976 Code, are approved.</w:t>
      </w: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6E1" w:rsidRDefault="00707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467B5">
        <w:t>2</w:t>
      </w:r>
      <w:r>
        <w:t>.</w:t>
      </w:r>
      <w:r>
        <w:tab/>
        <w:t>This joint resolution takes effect upon approval by the Governor.</w:t>
      </w:r>
    </w:p>
    <w:p w:rsidR="007076E1"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76E1"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76E1"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76E1"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76E1" w:rsidRPr="009A4EC2" w:rsidRDefault="00CD418F"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076E1" w:rsidRPr="009A4EC2">
        <w:t>he Department has amended R. 61</w:t>
      </w:r>
      <w:r w:rsidR="007076E1" w:rsidRPr="009A4EC2">
        <w:noBreakHyphen/>
        <w:t>62.1, Definitions and General Requirements, and the SIP to update and correct definitions and permit requirements; R. 61</w:t>
      </w:r>
      <w:r w:rsidR="007076E1" w:rsidRPr="009A4EC2">
        <w:noBreakHyphen/>
        <w:t>62.5, Standard 1, Emissions From Fuel Burning Operations, to exclude the requirement for natural gas fired units to maintain a log of periods of startup and shutdown; R. 61</w:t>
      </w:r>
      <w:r w:rsidR="007076E1" w:rsidRPr="009A4EC2">
        <w:noBreakHyphen/>
        <w:t>62.5, Standard 2, Ambient Air Quality Standards</w:t>
      </w:r>
      <w:r w:rsidR="007076E1" w:rsidRPr="009A4EC2">
        <w:rPr>
          <w:i/>
        </w:rPr>
        <w:t>,</w:t>
      </w:r>
      <w:r w:rsidR="007076E1" w:rsidRPr="009A4EC2">
        <w:t xml:space="preserve"> to remove the </w:t>
      </w:r>
      <w:r w:rsidR="007076E1" w:rsidRPr="009A4EC2">
        <w:lastRenderedPageBreak/>
        <w:t>standard for Total Suspended Particle (TSP) and update the exceedance limitation for the carbon monoxide (CO) standard; R. 61</w:t>
      </w:r>
      <w:r w:rsidR="007076E1" w:rsidRPr="009A4EC2">
        <w:noBreakHyphen/>
        <w:t>62.5, Standard No. 4, Emissions from Process Industries, to modify the regulatory strategy for cotton gins; and clarify the definition for major source threshold throughout R. 61</w:t>
      </w:r>
      <w:r w:rsidR="007076E1" w:rsidRPr="009A4EC2">
        <w:noBreakHyphen/>
        <w:t>62. The Department has also deleted R. 61</w:t>
      </w:r>
      <w:r w:rsidR="007076E1" w:rsidRPr="009A4EC2">
        <w:noBreakHyphen/>
        <w:t>62.5, Standard 6, Alternative Emission Limitation Options (“Bubble”); and updated the entirety of R. 61</w:t>
      </w:r>
      <w:r w:rsidR="007076E1" w:rsidRPr="009A4EC2">
        <w:noBreakHyphen/>
        <w:t>62 to correct typographical errors, provide clarification, and delete or update obsolete requirements.</w:t>
      </w: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Based on concerns brought up during legislative approval of previous amendments, the Department also has amended R. 61</w:t>
      </w:r>
      <w:r w:rsidRPr="009A4EC2">
        <w:noBreakHyphen/>
        <w:t xml:space="preserve">86.1, </w:t>
      </w:r>
      <w:r w:rsidRPr="009A4EC2">
        <w:rPr>
          <w:bCs/>
          <w:iCs/>
        </w:rPr>
        <w:t>Standards of Performance for Asbestos Projects, to revise Section XX.A.4, and add Section XX.J.3, to change the required frequency of building inspections for industrial manufacturing and electrical generating facilities from 3 years to 5 years.</w:t>
      </w: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The Department has met with stakeholders to develop these amendments. Based on comments received, the obsolete requirement of stack testing for Total Reduced Sulfur (TRS) at facilities that are already required to have a continuous emissions monitoring system (CEMS) installed was removed from R. 61</w:t>
      </w:r>
      <w:r w:rsidRPr="009A4EC2">
        <w:noBreakHyphen/>
        <w:t>62.5 Standard 4, Section XII(B).</w:t>
      </w: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76E1" w:rsidRPr="009A4EC2" w:rsidRDefault="007076E1" w:rsidP="0070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EC2">
        <w:t>Notices of Drafting were published in the South Carolina</w:t>
      </w:r>
      <w:r w:rsidRPr="009A4EC2">
        <w:rPr>
          <w:i/>
        </w:rPr>
        <w:t xml:space="preserve"> </w:t>
      </w:r>
      <w:r w:rsidRPr="009A4EC2">
        <w:rPr>
          <w:i/>
          <w:iCs/>
        </w:rPr>
        <w:t>State Register</w:t>
      </w:r>
      <w:r w:rsidRPr="009A4EC2">
        <w:t xml:space="preserve"> on September 26, 2008, in Volume 32, Issue No. 9; and on February 26, 2010, in Volume 34, Issue No. 2. The purpose of the second Notice of Drafting was to extend the drafting period initially established by the September 26, 2008, drafting notice. A Notice of Proposed Regulation was published in the </w:t>
      </w:r>
      <w:r w:rsidRPr="009A4EC2">
        <w:rPr>
          <w:i/>
        </w:rPr>
        <w:t>State Register</w:t>
      </w:r>
      <w:r w:rsidRPr="009A4EC2">
        <w:t xml:space="preserve"> on June 25, 2010 (Document No. 4130).</w:t>
      </w:r>
    </w:p>
    <w:p w:rsidR="004D67F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D67FF" w:rsidRDefault="004D67FF" w:rsidP="004D67FF">
      <w:pPr>
        <w:suppressAutoHyphens/>
      </w:pPr>
    </w:p>
    <w:sectPr w:rsidR="004D67FF" w:rsidSect="004D67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7B5" w:rsidRDefault="00C467B5" w:rsidP="009F0C77">
      <w:r>
        <w:separator/>
      </w:r>
    </w:p>
  </w:endnote>
  <w:endnote w:type="continuationSeparator" w:id="0">
    <w:p w:rsidR="00C467B5" w:rsidRDefault="00C4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9F0100-323E-45FA-8B5B-DB3874CD2825}"/>
    <w:embedBold r:id="rId2" w:fontKey="{85E9A8B3-1B97-4A89-BBC8-C0F067184E33}"/>
    <w:embedItalic r:id="rId3" w:fontKey="{0A5D421F-C761-441D-A7CB-14428A902811}"/>
    <w:embedBoldItalic r:id="rId4" w:fontKey="{514141E2-244D-4F9F-9362-AB48EE2F1A1E}"/>
  </w:font>
  <w:font w:name="Calibri">
    <w:panose1 w:val="020F0502020204030204"/>
    <w:charset w:val="00"/>
    <w:family w:val="swiss"/>
    <w:pitch w:val="variable"/>
    <w:sig w:usb0="A00002EF" w:usb1="4000207B" w:usb2="00000000" w:usb3="00000000" w:csb0="0000009F" w:csb1="00000000"/>
    <w:embedRegular r:id="rId5" w:fontKey="{C659525E-BF18-413F-BDE6-12F40FD3ACD4}"/>
  </w:font>
  <w:font w:name="Tahoma">
    <w:panose1 w:val="020B0604030504040204"/>
    <w:charset w:val="00"/>
    <w:family w:val="swiss"/>
    <w:pitch w:val="variable"/>
    <w:sig w:usb0="61002A87" w:usb1="80000000" w:usb2="00000008" w:usb3="00000000" w:csb0="000101FF" w:csb1="00000000"/>
    <w:embedRegular r:id="rId6" w:fontKey="{1C801D75-1516-471A-8EAC-A3E05DCE64DB}"/>
  </w:font>
  <w:font w:name="Cambria">
    <w:panose1 w:val="02040503050406030204"/>
    <w:charset w:val="00"/>
    <w:family w:val="roman"/>
    <w:pitch w:val="variable"/>
    <w:sig w:usb0="A00002EF" w:usb1="4000004B" w:usb2="00000000" w:usb3="00000000" w:csb0="0000009F" w:csb1="00000000"/>
    <w:embedRegular r:id="rId7" w:fontKey="{6FE35634-F703-460B-AF78-2790E07A14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53" w:rsidRPr="004D67FF" w:rsidRDefault="004D67FF" w:rsidP="004D67FF">
    <w:pPr>
      <w:pStyle w:val="Footer"/>
      <w:tabs>
        <w:tab w:val="clear" w:pos="4680"/>
        <w:tab w:val="clear" w:pos="9360"/>
        <w:tab w:val="center" w:pos="2995"/>
      </w:tabs>
      <w:spacing w:before="120"/>
    </w:pPr>
    <w:r>
      <w:t>[607]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7B5" w:rsidRDefault="00C467B5" w:rsidP="009F0C77">
      <w:r>
        <w:separator/>
      </w:r>
    </w:p>
  </w:footnote>
  <w:footnote w:type="continuationSeparator" w:id="0">
    <w:p w:rsidR="00C467B5" w:rsidRDefault="00C4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7AC11"/>
    <w:docVar w:name="CoverBillType" w:val="a"/>
    <w:docVar w:name="docpath" w:val="L:\Council\bills\DBS\31007AC11.DOCX"/>
    <w:docVar w:name="dvBillNumber" w:val="607"/>
    <w:docVar w:name="dvBillNumberPrefix" w:val="S. "/>
    <w:docVar w:name="dvOriginalBody" w:val="Senate"/>
    <w:docVar w:name="dvSteno" w:val="DBS"/>
    <w:docVar w:name="NameofBody" w:val="s"/>
    <w:docVar w:name="vgroup2" w:val="Council"/>
  </w:docVars>
  <w:rsids>
    <w:rsidRoot w:val="00E81BA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67FF"/>
    <w:rsid w:val="00511EE9"/>
    <w:rsid w:val="00521E00"/>
    <w:rsid w:val="00577C6C"/>
    <w:rsid w:val="0058501B"/>
    <w:rsid w:val="006215AA"/>
    <w:rsid w:val="006340D9"/>
    <w:rsid w:val="00643B8E"/>
    <w:rsid w:val="00665EBC"/>
    <w:rsid w:val="0069470D"/>
    <w:rsid w:val="006A476C"/>
    <w:rsid w:val="006C6A93"/>
    <w:rsid w:val="006D4EE6"/>
    <w:rsid w:val="006E02F9"/>
    <w:rsid w:val="007076E1"/>
    <w:rsid w:val="00753C04"/>
    <w:rsid w:val="00756946"/>
    <w:rsid w:val="00757F80"/>
    <w:rsid w:val="00771EEC"/>
    <w:rsid w:val="00786819"/>
    <w:rsid w:val="007A0ED6"/>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67B5"/>
    <w:rsid w:val="00C74E9D"/>
    <w:rsid w:val="00C82FD3"/>
    <w:rsid w:val="00CC6B7B"/>
    <w:rsid w:val="00CD3619"/>
    <w:rsid w:val="00CD418F"/>
    <w:rsid w:val="00CE4853"/>
    <w:rsid w:val="00CF4447"/>
    <w:rsid w:val="00D405E7"/>
    <w:rsid w:val="00D41D56"/>
    <w:rsid w:val="00D6260D"/>
    <w:rsid w:val="00D6662B"/>
    <w:rsid w:val="00D95E2F"/>
    <w:rsid w:val="00D970A9"/>
    <w:rsid w:val="00DB3AC0"/>
    <w:rsid w:val="00DE68F0"/>
    <w:rsid w:val="00DF3845"/>
    <w:rsid w:val="00DF7E17"/>
    <w:rsid w:val="00E81BA3"/>
    <w:rsid w:val="00E9746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418F"/>
    <w:rPr>
      <w:rFonts w:ascii="Tahoma" w:hAnsi="Tahoma" w:cs="Tahoma"/>
      <w:sz w:val="16"/>
      <w:szCs w:val="16"/>
    </w:rPr>
  </w:style>
  <w:style w:type="character" w:customStyle="1" w:styleId="BalloonTextChar">
    <w:name w:val="Balloon Text Char"/>
    <w:basedOn w:val="DefaultParagraphFont"/>
    <w:link w:val="BalloonText"/>
    <w:uiPriority w:val="99"/>
    <w:semiHidden/>
    <w:rsid w:val="00CD41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5A63F-47BC-4CDD-A480-1D2AD095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2011-01-24T20:18:00Z</cp:lastPrinted>
  <dcterms:created xsi:type="dcterms:W3CDTF">2011-02-23T19:31:00Z</dcterms:created>
  <dcterms:modified xsi:type="dcterms:W3CDTF">2011-02-23T19:31:00Z</dcterms:modified>
</cp:coreProperties>
</file>