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49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22</w:t>
      </w:r>
      <w:r>
        <w:noBreakHyphen/>
        <w:t>3</w:t>
      </w:r>
      <w:r>
        <w:noBreakHyphen/>
        <w:t>555 SO AS TO PROVIDE THAT MAGISTRATES COURT MUST DISPOSE OF CRIMINAL CASES WITHIN SIX MONTHS OF ARREST AND TO PROVIDE</w:t>
      </w:r>
      <w:r w:rsidR="00EA5E39">
        <w:t xml:space="preserve"> AN </w:t>
      </w:r>
      <w:r>
        <w:t>EXCEPTION; AND TO AMEND SECTION 14</w:t>
      </w:r>
      <w:r>
        <w:noBreakHyphen/>
        <w:t>25</w:t>
      </w:r>
      <w:r>
        <w:noBreakHyphen/>
        <w:t>45, RELATING TO THE JURISDICTION OF MUNICIPAL COURTS, SO AS TO PROVIDE THAT MUNICIPAL COURTS MUST DISPOSE OF CRIMINAL CASES WITHIN SIX MONTHS OF ARREST AND TO PROVIDE AN EXCEPTION.</w:t>
      </w:r>
    </w:p>
    <w:p w:rsidR="00214980" w:rsidRDefault="00214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4980" w:rsidRDefault="00214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980" w:rsidRDefault="00214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8B" w:rsidRDefault="00214980"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2E8B">
        <w:t>Article 5, Chapter 3, Title 22 of the 1976 Code is amended by adding:</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555.</w:t>
      </w:r>
      <w:r>
        <w:tab/>
        <w:t>The magistrates court must dispose of a criminal case within six months of arrest.  However, the court may grant a continuance of a case beyond this statutory limit provided the judge states, on the record, the reasons for granting a continuance and sets a date certain for trial.  The statutory limit does not apply if the trial has begun.”</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noBreakHyphen/>
        <w:t>25</w:t>
      </w:r>
      <w:r>
        <w:noBreakHyphen/>
        <w:t>45 of the 1976 Code</w:t>
      </w:r>
      <w:r w:rsidR="00151C9E">
        <w:t>, as added by Act 480 of 1980,</w:t>
      </w:r>
      <w:r>
        <w:t xml:space="preserve"> is amended to read:</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25</w:t>
      </w:r>
      <w:r>
        <w:noBreakHyphen/>
        <w:t>45.</w:t>
      </w:r>
      <w:r>
        <w:tab/>
      </w:r>
      <w:r>
        <w:rPr>
          <w:u w:val="single"/>
        </w:rPr>
        <w:t>(A)</w:t>
      </w:r>
      <w:r>
        <w:tab/>
        <w:t xml:space="preserve">Each municipal court </w:t>
      </w:r>
      <w:r>
        <w:rPr>
          <w:strike/>
        </w:rPr>
        <w:t>shall have</w:t>
      </w:r>
      <w:r>
        <w:t xml:space="preserve"> </w:t>
      </w:r>
      <w:r>
        <w:rPr>
          <w:u w:val="single"/>
        </w:rPr>
        <w:t>has</w:t>
      </w:r>
      <w:r>
        <w:t xml:space="preserve"> jurisdiction to try all cases arising under the ordinances of the municipality for which </w:t>
      </w:r>
      <w:r>
        <w:rPr>
          <w:u w:val="single"/>
        </w:rPr>
        <w:t>it was</w:t>
      </w:r>
      <w:r>
        <w:t xml:space="preserve"> established.  The court </w:t>
      </w:r>
      <w:r>
        <w:rPr>
          <w:strike/>
        </w:rPr>
        <w:t>shall also have</w:t>
      </w:r>
      <w:r>
        <w:t xml:space="preserve"> </w:t>
      </w:r>
      <w:r>
        <w:rPr>
          <w:u w:val="single"/>
        </w:rPr>
        <w:t>also has</w:t>
      </w:r>
      <w:r>
        <w:t xml:space="preserve"> all </w:t>
      </w:r>
      <w:r>
        <w:rPr>
          <w:strike/>
        </w:rPr>
        <w:t>such</w:t>
      </w:r>
      <w:r>
        <w:t xml:space="preserve"> powers, duties</w:t>
      </w:r>
      <w:r>
        <w:rPr>
          <w:u w:val="single"/>
        </w:rPr>
        <w:t>,</w:t>
      </w:r>
      <w:r>
        <w:t xml:space="preserve"> and jurisdiction in criminal cases made </w:t>
      </w:r>
      <w:r w:rsidRPr="00A12E8B">
        <w:rPr>
          <w:strike/>
        </w:rPr>
        <w:t>under</w:t>
      </w:r>
      <w:r>
        <w:t xml:space="preserve"> </w:t>
      </w:r>
      <w:r>
        <w:rPr>
          <w:u w:val="single"/>
        </w:rPr>
        <w:t>pursuant to</w:t>
      </w:r>
      <w:r>
        <w:t xml:space="preserve"> state law and conferred upon </w:t>
      </w:r>
      <w:r>
        <w:lastRenderedPageBreak/>
        <w:t xml:space="preserve">magistrates.  The court </w:t>
      </w:r>
      <w:r>
        <w:rPr>
          <w:strike/>
        </w:rPr>
        <w:t>shall have</w:t>
      </w:r>
      <w:r>
        <w:t xml:space="preserve"> </w:t>
      </w:r>
      <w:r>
        <w:rPr>
          <w:u w:val="single"/>
        </w:rPr>
        <w:t>has</w:t>
      </w:r>
      <w:r>
        <w:t xml:space="preserve"> the power to punish for contempt of court by imposition of sentences up to the limits imposed on municipal courts.  The court </w:t>
      </w:r>
      <w:r>
        <w:rPr>
          <w:strike/>
        </w:rPr>
        <w:t>shall have</w:t>
      </w:r>
      <w:r>
        <w:t xml:space="preserve"> </w:t>
      </w:r>
      <w:r>
        <w:rPr>
          <w:u w:val="single"/>
        </w:rPr>
        <w:t>has</w:t>
      </w:r>
      <w:r>
        <w:t xml:space="preserve"> no jurisdiction in civil matters.</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municipal court must dispose of a case within six months of arrest.  However, the court may grant a continuance of a case beyond this statutory limit provided the judge states, on the record, the reasons for granting the continuance and sets a date certain for trial.  The statutory limit does not apply if the trial has begun.</w:t>
      </w:r>
      <w:r>
        <w:t>”</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E39"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A5E39">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5E39" w:rsidRDefault="00EA5E39"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applies to all crimes committed on or after that date.</w:t>
      </w:r>
    </w:p>
    <w:p w:rsidR="006B5EC9" w:rsidRDefault="00A12E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EC9" w:rsidRDefault="006B5EC9" w:rsidP="006B5EC9">
      <w:pPr>
        <w:suppressAutoHyphens/>
      </w:pPr>
    </w:p>
    <w:sectPr w:rsidR="006B5EC9" w:rsidSect="006B5E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627" w:rsidRDefault="00EA7627" w:rsidP="009F0C77">
      <w:r>
        <w:separator/>
      </w:r>
    </w:p>
  </w:endnote>
  <w:endnote w:type="continuationSeparator" w:id="0">
    <w:p w:rsidR="00EA7627" w:rsidRDefault="00EA76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A549BF-86D8-4C86-8EBE-4D3C6A5B0D74}"/>
    <w:embedBold r:id="rId2" w:fontKey="{D6B59EF5-B946-4DCE-B895-7E605E54FFF3}"/>
  </w:font>
  <w:font w:name="Calibri">
    <w:panose1 w:val="020F0502020204030204"/>
    <w:charset w:val="00"/>
    <w:family w:val="swiss"/>
    <w:pitch w:val="variable"/>
    <w:sig w:usb0="A00002EF" w:usb1="4000207B" w:usb2="00000000" w:usb3="00000000" w:csb0="0000009F" w:csb1="00000000"/>
    <w:embedRegular r:id="rId3" w:fontKey="{9830E10E-8D62-4BCB-BB59-1264285A8A0D}"/>
  </w:font>
  <w:font w:name="Tahoma">
    <w:panose1 w:val="020B0604030504040204"/>
    <w:charset w:val="00"/>
    <w:family w:val="swiss"/>
    <w:pitch w:val="variable"/>
    <w:sig w:usb0="61002A87" w:usb1="80000000" w:usb2="00000008" w:usb3="00000000" w:csb0="000101FF" w:csb1="00000000"/>
    <w:embedRegular r:id="rId4" w:fontKey="{ED6A3B76-1166-48E1-8CB7-DFA692FDD387}"/>
  </w:font>
  <w:font w:name="Cambria">
    <w:panose1 w:val="02040503050406030204"/>
    <w:charset w:val="00"/>
    <w:family w:val="roman"/>
    <w:pitch w:val="variable"/>
    <w:sig w:usb0="A00002EF" w:usb1="4000004B" w:usb2="00000000" w:usb3="00000000" w:csb0="0000009F" w:csb1="00000000"/>
    <w:embedRegular r:id="rId5" w:fontKey="{0175F0BB-9EDF-44C1-BED9-5F1DF402EC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B1D" w:rsidRPr="006B5EC9" w:rsidRDefault="006B5EC9" w:rsidP="006B5EC9">
    <w:pPr>
      <w:pStyle w:val="Footer"/>
      <w:tabs>
        <w:tab w:val="clear" w:pos="4680"/>
        <w:tab w:val="clear" w:pos="9360"/>
        <w:tab w:val="center" w:pos="2995"/>
      </w:tabs>
      <w:spacing w:before="120"/>
    </w:pPr>
    <w:r>
      <w:t>[852]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627" w:rsidRDefault="00EA7627" w:rsidP="009F0C77">
      <w:r>
        <w:separator/>
      </w:r>
    </w:p>
  </w:footnote>
  <w:footnote w:type="continuationSeparator" w:id="0">
    <w:p w:rsidR="00EA7627" w:rsidRDefault="00EA76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67AHB11"/>
    <w:docVar w:name="CoverBillType" w:val="b"/>
    <w:docVar w:name="docpath" w:val="L:\Council\bills\MS\7367AHB11.DOCX"/>
    <w:docVar w:name="dvBillNumber" w:val="852"/>
    <w:docVar w:name="dvBillNumberPrefix" w:val="S. "/>
    <w:docVar w:name="dvOriginalBody" w:val="Senate"/>
    <w:docVar w:name="dvSteno" w:val="MS"/>
    <w:docVar w:name="NameofBody" w:val="s"/>
    <w:docVar w:name="vgroup2" w:val="Council"/>
  </w:docVars>
  <w:rsids>
    <w:rsidRoot w:val="00920318"/>
    <w:rsid w:val="00026C9A"/>
    <w:rsid w:val="000965A1"/>
    <w:rsid w:val="000E1785"/>
    <w:rsid w:val="001023A4"/>
    <w:rsid w:val="0010776B"/>
    <w:rsid w:val="00133E66"/>
    <w:rsid w:val="00134ACF"/>
    <w:rsid w:val="00144E15"/>
    <w:rsid w:val="00151C9E"/>
    <w:rsid w:val="001A4A62"/>
    <w:rsid w:val="001A681E"/>
    <w:rsid w:val="001D08F2"/>
    <w:rsid w:val="002037CA"/>
    <w:rsid w:val="002047A2"/>
    <w:rsid w:val="00214980"/>
    <w:rsid w:val="002321B6"/>
    <w:rsid w:val="0023696B"/>
    <w:rsid w:val="00250967"/>
    <w:rsid w:val="002759C5"/>
    <w:rsid w:val="00277DEE"/>
    <w:rsid w:val="00280D88"/>
    <w:rsid w:val="00294ABE"/>
    <w:rsid w:val="002A3EB4"/>
    <w:rsid w:val="002C002A"/>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5EC9"/>
    <w:rsid w:val="006C6A93"/>
    <w:rsid w:val="006E02F9"/>
    <w:rsid w:val="00753C04"/>
    <w:rsid w:val="00756946"/>
    <w:rsid w:val="00757F80"/>
    <w:rsid w:val="00771EEC"/>
    <w:rsid w:val="00786819"/>
    <w:rsid w:val="007A325A"/>
    <w:rsid w:val="007C3DE8"/>
    <w:rsid w:val="007F1523"/>
    <w:rsid w:val="007F509E"/>
    <w:rsid w:val="007F5799"/>
    <w:rsid w:val="007F6947"/>
    <w:rsid w:val="00872729"/>
    <w:rsid w:val="008F4429"/>
    <w:rsid w:val="00920318"/>
    <w:rsid w:val="009352BB"/>
    <w:rsid w:val="00990668"/>
    <w:rsid w:val="009F0C77"/>
    <w:rsid w:val="009F4DD1"/>
    <w:rsid w:val="00A12E8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2B1D"/>
    <w:rsid w:val="00CF4447"/>
    <w:rsid w:val="00D405E7"/>
    <w:rsid w:val="00D41D56"/>
    <w:rsid w:val="00D6260D"/>
    <w:rsid w:val="00D6662B"/>
    <w:rsid w:val="00D95E2F"/>
    <w:rsid w:val="00D970A9"/>
    <w:rsid w:val="00DB3AC0"/>
    <w:rsid w:val="00DE68F0"/>
    <w:rsid w:val="00DF3845"/>
    <w:rsid w:val="00DF7E17"/>
    <w:rsid w:val="00EA5E39"/>
    <w:rsid w:val="00EA7627"/>
    <w:rsid w:val="00EB00A2"/>
    <w:rsid w:val="00EB1BF3"/>
    <w:rsid w:val="00EF3EEE"/>
    <w:rsid w:val="00F149A7"/>
    <w:rsid w:val="00F50BAF"/>
    <w:rsid w:val="00F52C10"/>
    <w:rsid w:val="00F81FFD"/>
    <w:rsid w:val="00F85228"/>
    <w:rsid w:val="00FB6773"/>
    <w:rsid w:val="00FE04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2E8B"/>
    <w:rPr>
      <w:rFonts w:ascii="Tahoma" w:hAnsi="Tahoma" w:cs="Tahoma"/>
      <w:sz w:val="16"/>
      <w:szCs w:val="16"/>
    </w:rPr>
  </w:style>
  <w:style w:type="character" w:customStyle="1" w:styleId="BalloonTextChar">
    <w:name w:val="Balloon Text Char"/>
    <w:basedOn w:val="DefaultParagraphFont"/>
    <w:link w:val="BalloonText"/>
    <w:uiPriority w:val="99"/>
    <w:semiHidden/>
    <w:rsid w:val="00A12E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255C1-E7A9-442E-AC78-E9CBA49B6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2011-04-26T19:00:00Z</cp:lastPrinted>
  <dcterms:created xsi:type="dcterms:W3CDTF">2011-04-27T14:06:00Z</dcterms:created>
  <dcterms:modified xsi:type="dcterms:W3CDTF">2011-04-27T14:06:00Z</dcterms:modified>
</cp:coreProperties>
</file>