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73" w:rsidRPr="0017520C" w:rsidRDefault="00BB1E73" w:rsidP="00BB1E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0259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COUNTY TRANSPORTATION FUNDS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OTHER OPERATING EXPENSES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OPERATING EXPENSES         7,500,000               4,000,000               4,000,000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PERMANENT IMPROVEMENTS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PERMANENT IMPROVEMENTS         25,000,000              21,000,000              21,000,000</w:t>
      </w:r>
    </w:p>
    <w:p w:rsidR="00BB1E73" w:rsidRPr="0017520C" w:rsidRDefault="00BB1E73" w:rsidP="00BB1E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PERM IMPROVEMENTS         25,000,000              21,000,000              21,000,000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DISTRIBUTION TO SUBDIVISIONS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ALLOC MUNICIPAL                 4,000,000               5,000,000               5,000,000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ALLOC CNTY-RESTRICTED          55,500,000              62,000,000              62,000,000</w:t>
      </w:r>
    </w:p>
    <w:p w:rsidR="00BB1E73" w:rsidRPr="0017520C" w:rsidRDefault="00BB1E73" w:rsidP="00BB1E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DIST SUBDIVISIONS         59,500,000              67,000,000              67,000,000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COUNTY TRANSPORTATION       92,000,000              92,000,000              92,000,000</w:t>
      </w:r>
    </w:p>
    <w:p w:rsidR="00BB1E73" w:rsidRPr="0017520C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COUNTY TRANSPORTATION FUNDS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FUNDS AVAILABLE             92,000,000              92,000,000              92,000,000</w:t>
      </w:r>
    </w:p>
    <w:p w:rsidR="00BB1E73" w:rsidRPr="0017520C" w:rsidRDefault="00BB1E73" w:rsidP="00BB1E7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1E73" w:rsidRDefault="00BB1E73" w:rsidP="00BB1E73">
      <w:pPr>
        <w:spacing w:line="170" w:lineRule="exact"/>
        <w:rPr>
          <w:rFonts w:ascii="Letter Gothic" w:hAnsi="Letter Gothic"/>
          <w:sz w:val="18"/>
        </w:rPr>
      </w:pPr>
    </w:p>
    <w:sectPr w:rsidR="00BB1E73" w:rsidSect="00BB1E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C5B631-8D20-465C-BEE4-D61DBBC0C6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88A0E6-D550-4B19-8D10-49C94FCE83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C5AF9F-0429-485C-B252-FD9398A02D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B9640C-2035-46B5-A3A0-B5F4400F37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E864C-9053-4B5B-AAE0-21BFD5A956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1E7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1E73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