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95685" w:rsidRDefault="00C95685" w:rsidP="00C95685">
      <w:pPr>
        <w:widowControl w:val="0"/>
        <w:jc w:val="center"/>
      </w:pPr>
      <w:r w:rsidRPr="00C95685">
        <w:rPr>
          <w:b/>
        </w:rPr>
        <w:t>South Carolina General Assembly</w:t>
      </w:r>
    </w:p>
    <w:p w:rsidR="00C95685" w:rsidRDefault="00C95685" w:rsidP="00C95685">
      <w:pPr>
        <w:widowControl w:val="0"/>
        <w:jc w:val="center"/>
      </w:pPr>
      <w:r>
        <w:t>120th Session, 2013-2014</w:t>
      </w:r>
    </w:p>
    <w:p w:rsidR="00C95685" w:rsidRDefault="00C95685" w:rsidP="00C95685">
      <w:pPr>
        <w:widowControl w:val="0"/>
        <w:jc w:val="left"/>
      </w:pPr>
    </w:p>
    <w:p w:rsidR="00C95685" w:rsidRDefault="00C95685" w:rsidP="00C95685">
      <w:pPr>
        <w:widowControl w:val="0"/>
        <w:jc w:val="left"/>
        <w:rPr>
          <w:b/>
        </w:rPr>
      </w:pPr>
      <w:r w:rsidRPr="00C95685">
        <w:rPr>
          <w:b/>
        </w:rPr>
        <w:t>S.</w:t>
      </w:r>
      <w:r>
        <w:rPr>
          <w:b/>
        </w:rPr>
        <w:t xml:space="preserve"> </w:t>
      </w:r>
      <w:r w:rsidRPr="00C95685">
        <w:rPr>
          <w:b/>
        </w:rPr>
        <w:t>121</w:t>
      </w:r>
    </w:p>
    <w:p w:rsidR="00C95685" w:rsidRDefault="00C95685" w:rsidP="00C95685">
      <w:pPr>
        <w:widowControl w:val="0"/>
        <w:jc w:val="left"/>
        <w:rPr>
          <w:b/>
        </w:rPr>
      </w:pPr>
    </w:p>
    <w:p w:rsidR="00C95685" w:rsidRDefault="00C95685" w:rsidP="00C95685">
      <w:pPr>
        <w:widowControl w:val="0"/>
        <w:jc w:val="left"/>
      </w:pPr>
      <w:r w:rsidRPr="00C95685">
        <w:rPr>
          <w:b/>
        </w:rPr>
        <w:t>STATUS INFORMATION</w:t>
      </w:r>
    </w:p>
    <w:p w:rsidR="00C95685" w:rsidRDefault="00C95685" w:rsidP="00C95685">
      <w:pPr>
        <w:widowControl w:val="0"/>
        <w:jc w:val="left"/>
      </w:pPr>
    </w:p>
    <w:p w:rsidR="00C95685" w:rsidRDefault="00C95685" w:rsidP="00C95685">
      <w:pPr>
        <w:widowControl w:val="0"/>
        <w:jc w:val="left"/>
      </w:pPr>
      <w:r>
        <w:t>General Bill</w:t>
      </w:r>
    </w:p>
    <w:p w:rsidR="00C95685" w:rsidRDefault="00C95685" w:rsidP="00C95685">
      <w:pPr>
        <w:widowControl w:val="0"/>
        <w:jc w:val="left"/>
      </w:pPr>
      <w:r>
        <w:t>Sponsors: Senator Reese</w:t>
      </w:r>
    </w:p>
    <w:p w:rsidR="00C95685" w:rsidRDefault="00C95685" w:rsidP="00C95685">
      <w:pPr>
        <w:widowControl w:val="0"/>
        <w:jc w:val="left"/>
      </w:pPr>
      <w:r>
        <w:t>Document Path: l:\council\bills\nl\13049dg13.docx</w:t>
      </w:r>
    </w:p>
    <w:p w:rsidR="00C95685" w:rsidRDefault="00C95685" w:rsidP="00C95685">
      <w:pPr>
        <w:widowControl w:val="0"/>
        <w:jc w:val="left"/>
      </w:pPr>
    </w:p>
    <w:p w:rsidR="003F17C9" w:rsidRDefault="003F17C9" w:rsidP="00C95685">
      <w:pPr>
        <w:widowControl w:val="0"/>
        <w:jc w:val="left"/>
      </w:pPr>
      <w:r>
        <w:t>Introduced in the Senate on January 8, 2013</w:t>
      </w:r>
    </w:p>
    <w:p w:rsidR="003F17C9" w:rsidRPr="003F17C9" w:rsidRDefault="003F17C9" w:rsidP="00C95685">
      <w:pPr>
        <w:widowControl w:val="0"/>
        <w:jc w:val="left"/>
      </w:pPr>
      <w:r>
        <w:t xml:space="preserve">Currently residing in the Senate Committee on </w:t>
      </w:r>
      <w:r w:rsidRPr="003F17C9">
        <w:rPr>
          <w:b/>
        </w:rPr>
        <w:t>Agriculture and Natural Resources</w:t>
      </w:r>
    </w:p>
    <w:p w:rsidR="003F17C9" w:rsidRDefault="003F17C9" w:rsidP="00C95685">
      <w:pPr>
        <w:widowControl w:val="0"/>
        <w:jc w:val="left"/>
      </w:pPr>
    </w:p>
    <w:p w:rsidR="00C95685" w:rsidRDefault="00C95685" w:rsidP="00C95685">
      <w:pPr>
        <w:widowControl w:val="0"/>
        <w:jc w:val="left"/>
      </w:pPr>
      <w:r>
        <w:t xml:space="preserve">Summary: </w:t>
      </w:r>
      <w:r w:rsidR="003D1D6A">
        <w:t>Property owners, allowed to apply to DHEC to protect property from the waters of the Atlantic Ocean</w:t>
      </w:r>
    </w:p>
    <w:p w:rsidR="00C95685" w:rsidRDefault="00C95685" w:rsidP="00C95685">
      <w:pPr>
        <w:widowControl w:val="0"/>
        <w:jc w:val="left"/>
      </w:pPr>
    </w:p>
    <w:p w:rsidR="00C95685" w:rsidRDefault="00C95685" w:rsidP="00C95685">
      <w:pPr>
        <w:widowControl w:val="0"/>
        <w:jc w:val="left"/>
      </w:pPr>
    </w:p>
    <w:p w:rsidR="00C95685" w:rsidRDefault="00C95685" w:rsidP="00C95685">
      <w:pPr>
        <w:widowControl w:val="0"/>
        <w:tabs>
          <w:tab w:val="center" w:pos="590"/>
          <w:tab w:val="center" w:pos="1440"/>
          <w:tab w:val="left" w:pos="1872"/>
          <w:tab w:val="left" w:pos="9187"/>
        </w:tabs>
        <w:jc w:val="left"/>
      </w:pPr>
      <w:r w:rsidRPr="00C95685">
        <w:rPr>
          <w:b/>
        </w:rPr>
        <w:t>HISTORY OF LEGISLATIVE ACTIONS</w:t>
      </w:r>
    </w:p>
    <w:p w:rsidR="00C95685" w:rsidRDefault="00C95685" w:rsidP="00C95685">
      <w:pPr>
        <w:widowControl w:val="0"/>
        <w:tabs>
          <w:tab w:val="center" w:pos="590"/>
          <w:tab w:val="center" w:pos="1440"/>
          <w:tab w:val="left" w:pos="1872"/>
          <w:tab w:val="left" w:pos="9187"/>
        </w:tabs>
        <w:jc w:val="left"/>
      </w:pPr>
    </w:p>
    <w:p w:rsidR="00C95685" w:rsidRPr="00C95685" w:rsidRDefault="00C95685" w:rsidP="00C95685">
      <w:pPr>
        <w:widowControl w:val="0"/>
        <w:tabs>
          <w:tab w:val="center" w:pos="590"/>
          <w:tab w:val="center" w:pos="1440"/>
          <w:tab w:val="left" w:pos="1872"/>
          <w:tab w:val="left" w:pos="9187"/>
        </w:tabs>
        <w:jc w:val="left"/>
      </w:pPr>
      <w:r w:rsidRPr="00C95685">
        <w:rPr>
          <w:u w:val="single"/>
        </w:rPr>
        <w:tab/>
        <w:t>Date</w:t>
      </w:r>
      <w:r w:rsidRPr="00C95685">
        <w:rPr>
          <w:u w:val="single"/>
        </w:rPr>
        <w:tab/>
        <w:t>Body</w:t>
      </w:r>
      <w:r w:rsidRPr="00C95685">
        <w:rPr>
          <w:u w:val="single"/>
        </w:rPr>
        <w:tab/>
        <w:t>Action Description with journal page number</w:t>
      </w:r>
      <w:r w:rsidRPr="00C95685">
        <w:rPr>
          <w:u w:val="single"/>
        </w:rPr>
        <w:tab/>
      </w:r>
      <w:bookmarkStart w:id="0" w:name="_GoBack"/>
      <w:bookmarkEnd w:id="0"/>
    </w:p>
    <w:p w:rsidR="00A83DFF" w:rsidRDefault="00A83DFF" w:rsidP="00A83DFF">
      <w:pPr>
        <w:widowControl w:val="0"/>
        <w:tabs>
          <w:tab w:val="right" w:pos="1008"/>
          <w:tab w:val="left" w:pos="1152"/>
          <w:tab w:val="left" w:pos="1872"/>
          <w:tab w:val="left" w:pos="9187"/>
        </w:tabs>
        <w:ind w:left="2088" w:hanging="2088"/>
        <w:jc w:val="left"/>
      </w:pPr>
      <w:r>
        <w:tab/>
        <w:t>12/18/2012</w:t>
      </w:r>
      <w:r>
        <w:tab/>
        <w:t>Senate</w:t>
      </w:r>
      <w:r>
        <w:tab/>
      </w:r>
      <w:r w:rsidRPr="00FD2F19">
        <w:t>Prefiled</w:t>
      </w:r>
    </w:p>
    <w:p w:rsidR="00A83DFF" w:rsidRDefault="00A83DFF" w:rsidP="00A83DFF">
      <w:pPr>
        <w:widowControl w:val="0"/>
        <w:tabs>
          <w:tab w:val="right" w:pos="1008"/>
          <w:tab w:val="left" w:pos="1152"/>
          <w:tab w:val="left" w:pos="1872"/>
          <w:tab w:val="left" w:pos="9187"/>
        </w:tabs>
        <w:ind w:left="2088" w:hanging="2088"/>
        <w:jc w:val="left"/>
      </w:pPr>
      <w:r>
        <w:tab/>
        <w:t>12/18/2012</w:t>
      </w:r>
      <w:r>
        <w:tab/>
        <w:t>Senate</w:t>
      </w:r>
      <w:r>
        <w:tab/>
      </w:r>
      <w:r w:rsidRPr="00FD2F19">
        <w:t>Referred to Commi</w:t>
      </w:r>
      <w:r>
        <w:t xml:space="preserve">ttee on </w:t>
      </w:r>
      <w:r w:rsidRPr="00FD2F19">
        <w:rPr>
          <w:b/>
        </w:rPr>
        <w:t>Agriculture and Natural Resources</w:t>
      </w:r>
    </w:p>
    <w:p w:rsidR="00A83DFF" w:rsidRDefault="00A83DFF" w:rsidP="00A83DFF">
      <w:pPr>
        <w:widowControl w:val="0"/>
        <w:tabs>
          <w:tab w:val="right" w:pos="1008"/>
          <w:tab w:val="left" w:pos="1152"/>
          <w:tab w:val="left" w:pos="1872"/>
          <w:tab w:val="left" w:pos="9187"/>
        </w:tabs>
        <w:ind w:left="2088" w:hanging="2088"/>
        <w:jc w:val="left"/>
      </w:pPr>
      <w:r>
        <w:tab/>
        <w:t>1/8/2013</w:t>
      </w:r>
      <w:r>
        <w:tab/>
        <w:t>Senate</w:t>
      </w:r>
      <w:r>
        <w:tab/>
      </w:r>
      <w:r w:rsidRPr="00FD2F19">
        <w:t>Introduced and read first time (</w:t>
      </w:r>
      <w:hyperlink r:id="rId7" w:history="1">
        <w:r w:rsidRPr="00FD2F19">
          <w:rPr>
            <w:rStyle w:val="Hyperlink"/>
          </w:rPr>
          <w:t>Senate Journal</w:t>
        </w:r>
        <w:r w:rsidRPr="00FD2F19">
          <w:rPr>
            <w:rStyle w:val="Hyperlink"/>
          </w:rPr>
          <w:noBreakHyphen/>
          <w:t>page 81</w:t>
        </w:r>
      </w:hyperlink>
      <w:r w:rsidRPr="00FD2F19">
        <w:t>)</w:t>
      </w:r>
    </w:p>
    <w:p w:rsidR="00A83DFF" w:rsidRDefault="00A83DFF" w:rsidP="00A83DFF">
      <w:pPr>
        <w:widowControl w:val="0"/>
        <w:tabs>
          <w:tab w:val="right" w:pos="1008"/>
          <w:tab w:val="left" w:pos="1152"/>
          <w:tab w:val="left" w:pos="1872"/>
          <w:tab w:val="left" w:pos="9187"/>
        </w:tabs>
        <w:ind w:left="2088" w:hanging="2088"/>
        <w:jc w:val="left"/>
      </w:pPr>
      <w:r>
        <w:tab/>
        <w:t>1/8/2013</w:t>
      </w:r>
      <w:r>
        <w:tab/>
        <w:t>Senate</w:t>
      </w:r>
      <w:r>
        <w:tab/>
      </w:r>
      <w:r w:rsidRPr="00FD2F19">
        <w:t>Referred to Commi</w:t>
      </w:r>
      <w:r>
        <w:t xml:space="preserve">ttee on </w:t>
      </w:r>
      <w:r w:rsidRPr="00FD2F19">
        <w:rPr>
          <w:b/>
        </w:rPr>
        <w:t>Agriculture and Natural Resources</w:t>
      </w:r>
      <w:r w:rsidRPr="00FD2F19">
        <w:t xml:space="preserve"> (</w:t>
      </w:r>
      <w:hyperlink r:id="rId8" w:history="1">
        <w:r w:rsidRPr="00FD2F19">
          <w:rPr>
            <w:rStyle w:val="Hyperlink"/>
          </w:rPr>
          <w:t>Senate Journal</w:t>
        </w:r>
        <w:r w:rsidRPr="00FD2F19">
          <w:rPr>
            <w:rStyle w:val="Hyperlink"/>
          </w:rPr>
          <w:noBreakHyphen/>
          <w:t>page 81</w:t>
        </w:r>
      </w:hyperlink>
      <w:r w:rsidRPr="00FD2F19">
        <w:t>)</w:t>
      </w:r>
    </w:p>
    <w:p w:rsidR="00A83DFF" w:rsidRDefault="00A83DFF" w:rsidP="00A83DFF">
      <w:pPr>
        <w:widowControl w:val="0"/>
        <w:tabs>
          <w:tab w:val="right" w:pos="1008"/>
          <w:tab w:val="left" w:pos="1152"/>
          <w:tab w:val="left" w:pos="1872"/>
          <w:tab w:val="left" w:pos="9187"/>
        </w:tabs>
        <w:ind w:left="2088" w:hanging="2088"/>
        <w:jc w:val="left"/>
      </w:pPr>
    </w:p>
    <w:p w:rsidR="00C95685" w:rsidRPr="00C95685" w:rsidRDefault="00C95685" w:rsidP="00C95685">
      <w:pPr>
        <w:widowControl w:val="0"/>
        <w:tabs>
          <w:tab w:val="right" w:pos="1008"/>
          <w:tab w:val="left" w:pos="1152"/>
          <w:tab w:val="left" w:pos="1872"/>
          <w:tab w:val="left" w:pos="9187"/>
        </w:tabs>
        <w:ind w:left="2088" w:hanging="2088"/>
        <w:jc w:val="left"/>
      </w:pPr>
    </w:p>
    <w:p w:rsidR="00C95685" w:rsidRDefault="00C95685" w:rsidP="00C95685">
      <w:pPr>
        <w:widowControl w:val="0"/>
        <w:jc w:val="left"/>
      </w:pPr>
      <w:r w:rsidRPr="00C95685">
        <w:rPr>
          <w:b/>
        </w:rPr>
        <w:t>VERSIONS OF THIS BILL</w:t>
      </w:r>
    </w:p>
    <w:p w:rsidR="00C95685" w:rsidRDefault="00C95685" w:rsidP="00C95685">
      <w:pPr>
        <w:widowControl w:val="0"/>
        <w:jc w:val="left"/>
      </w:pPr>
    </w:p>
    <w:p w:rsidR="00C95685" w:rsidRDefault="009578F3" w:rsidP="00C95685">
      <w:pPr>
        <w:widowControl w:val="0"/>
        <w:jc w:val="left"/>
      </w:pPr>
      <w:hyperlink r:id="rId9" w:history="1">
        <w:r w:rsidR="00C95685">
          <w:rPr>
            <w:rStyle w:val="Hyperlink"/>
          </w:rPr>
          <w:t>12/18/2012</w:t>
        </w:r>
      </w:hyperlink>
    </w:p>
    <w:p w:rsidR="00C95685" w:rsidRDefault="00C95685" w:rsidP="00C95685"/>
    <w:p w:rsidR="00C95685" w:rsidRDefault="00C95685" w:rsidP="00C95685">
      <w:pPr>
        <w:sectPr w:rsidR="00C95685" w:rsidSect="00C95685">
          <w:pgSz w:w="12240" w:h="15840" w:code="1"/>
          <w:pgMar w:top="1080" w:right="1440" w:bottom="1080" w:left="1440" w:header="720" w:footer="720" w:gutter="0"/>
          <w:cols w:space="720"/>
          <w:noEndnote/>
          <w:docGrid w:linePitch="360"/>
        </w:sectPr>
      </w:pPr>
    </w:p>
    <w:p w:rsidR="000044EF" w:rsidRDefault="000044EF" w:rsidP="000044EF">
      <w:pPr>
        <w:pStyle w:val="BillDots0"/>
      </w:pPr>
    </w:p>
    <w:p w:rsidR="000044EF" w:rsidRDefault="000044EF" w:rsidP="000044EF">
      <w:pPr>
        <w:pStyle w:val="Numbersforbills"/>
      </w:pPr>
    </w:p>
    <w:p w:rsidR="000044EF" w:rsidRDefault="000044EF" w:rsidP="000044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44EF" w:rsidRDefault="000044EF" w:rsidP="000044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44EF" w:rsidRDefault="000044EF" w:rsidP="000044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44EF" w:rsidRDefault="000044EF" w:rsidP="000044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44EF" w:rsidRDefault="000044EF" w:rsidP="000044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44EF" w:rsidRDefault="000044EF" w:rsidP="000044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865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A5CD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2D5E" w:rsidRPr="006B7525" w:rsidRDefault="00692D5E" w:rsidP="00692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6B7525">
        <w:rPr>
          <w:color w:val="000000" w:themeColor="text1"/>
          <w:u w:color="000000" w:themeColor="text1"/>
        </w:rPr>
        <w:t>TO AMEND THE CODE OF LAWS OF SOUTH CAROLINA, 1976, BY ADDING SECTION 48</w:t>
      </w:r>
      <w:r w:rsidR="00351138">
        <w:rPr>
          <w:color w:val="000000" w:themeColor="text1"/>
          <w:u w:color="000000" w:themeColor="text1"/>
        </w:rPr>
        <w:noBreakHyphen/>
      </w:r>
      <w:r w:rsidRPr="006B7525">
        <w:rPr>
          <w:color w:val="000000" w:themeColor="text1"/>
          <w:u w:color="000000" w:themeColor="text1"/>
        </w:rPr>
        <w:t>39</w:t>
      </w:r>
      <w:r w:rsidR="00351138">
        <w:rPr>
          <w:color w:val="000000" w:themeColor="text1"/>
          <w:u w:color="000000" w:themeColor="text1"/>
        </w:rPr>
        <w:noBreakHyphen/>
      </w:r>
      <w:r w:rsidRPr="006B7525">
        <w:rPr>
          <w:color w:val="000000" w:themeColor="text1"/>
          <w:u w:color="000000" w:themeColor="text1"/>
        </w:rPr>
        <w:t xml:space="preserve">370 SO AS TO ALLOW A PROPERTY OWNER TO APPLY TO THE DEPARTMENT OF HEALTH AND ENVIRONMENTAL CONTROL TO PROTECT PROPERTY FROM THE WATERS OF THE ATLANTIC OCEAN, TO SET FORTH THE PERMIT PROCESS, AND TO SPECIFY THE AUTHORIZED METHODS OF PROTECTION. </w:t>
      </w:r>
    </w:p>
    <w:p w:rsidR="001A5CDE" w:rsidRDefault="001A5CD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A5CDE" w:rsidRDefault="001A5CD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A5CDE" w:rsidRDefault="001A5CD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2D5E" w:rsidRPr="006B7525" w:rsidRDefault="001A5CDE" w:rsidP="00692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692D5E" w:rsidRPr="006B7525">
        <w:rPr>
          <w:color w:val="000000" w:themeColor="text1"/>
          <w:u w:color="000000" w:themeColor="text1"/>
        </w:rPr>
        <w:t>Chapter 39, Title 48 of the 1976 Code is amended by adding:</w:t>
      </w:r>
    </w:p>
    <w:p w:rsidR="00692D5E" w:rsidRPr="006B7525" w:rsidRDefault="00692D5E" w:rsidP="00692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92D5E" w:rsidRPr="006B7525" w:rsidRDefault="00692D5E" w:rsidP="00692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7525">
        <w:rPr>
          <w:color w:val="000000" w:themeColor="text1"/>
          <w:u w:color="000000" w:themeColor="text1"/>
        </w:rPr>
        <w:tab/>
        <w:t>“Section 48</w:t>
      </w:r>
      <w:r w:rsidR="00351138">
        <w:rPr>
          <w:color w:val="000000" w:themeColor="text1"/>
          <w:u w:color="000000" w:themeColor="text1"/>
        </w:rPr>
        <w:noBreakHyphen/>
      </w:r>
      <w:r w:rsidRPr="006B7525">
        <w:rPr>
          <w:color w:val="000000" w:themeColor="text1"/>
          <w:u w:color="000000" w:themeColor="text1"/>
        </w:rPr>
        <w:t>39</w:t>
      </w:r>
      <w:r w:rsidR="00351138">
        <w:rPr>
          <w:color w:val="000000" w:themeColor="text1"/>
          <w:u w:color="000000" w:themeColor="text1"/>
        </w:rPr>
        <w:noBreakHyphen/>
      </w:r>
      <w:r w:rsidRPr="006B7525">
        <w:rPr>
          <w:color w:val="000000" w:themeColor="text1"/>
          <w:u w:color="000000" w:themeColor="text1"/>
        </w:rPr>
        <w:t>370.</w:t>
      </w:r>
      <w:r w:rsidRPr="006B7525">
        <w:rPr>
          <w:color w:val="000000" w:themeColor="text1"/>
          <w:u w:color="000000" w:themeColor="text1"/>
        </w:rPr>
        <w:tab/>
        <w:t>(A)(1)</w:t>
      </w:r>
      <w:r w:rsidRPr="006B7525">
        <w:rPr>
          <w:color w:val="000000" w:themeColor="text1"/>
          <w:u w:color="000000" w:themeColor="text1"/>
        </w:rPr>
        <w:tab/>
        <w:t>Notwithstanding any other provision of law, and regardless of whether this chapter is applicable to a certain area, if emergency conditions exist, or have existed, anywhere in the coastal zone, a property owner may apply to the division for a permit to protect the property of the property owner.  The division must approve the permit within five days of application, inclusive of Saturdays, Sundays, and holidays, if emergency conditions exist on the property.  If the division does not approve the permit within five days due to a failure to determine whether emergency conditions exist, the property owner may apply to the municipality, or county if the property is located in an unincorporated area, for the same permit.  A permit issued by the municipality or county is effective until the division determines whether emergency conditions exist.</w:t>
      </w:r>
    </w:p>
    <w:p w:rsidR="00692D5E" w:rsidRPr="006B7525" w:rsidRDefault="00692D5E" w:rsidP="00692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7525">
        <w:rPr>
          <w:color w:val="000000" w:themeColor="text1"/>
          <w:u w:color="000000" w:themeColor="text1"/>
        </w:rPr>
        <w:tab/>
      </w:r>
      <w:r w:rsidRPr="006B7525">
        <w:rPr>
          <w:color w:val="000000" w:themeColor="text1"/>
          <w:u w:color="000000" w:themeColor="text1"/>
        </w:rPr>
        <w:tab/>
        <w:t>(2)</w:t>
      </w:r>
      <w:r w:rsidRPr="006B7525">
        <w:rPr>
          <w:color w:val="000000" w:themeColor="text1"/>
          <w:u w:color="000000" w:themeColor="text1"/>
        </w:rPr>
        <w:tab/>
        <w:t>The division may promulgate regulations necessary to administer the provisions of this section.  Also, the division may charge a fee that does not exceed the necessary costs of issuing the permit.</w:t>
      </w:r>
    </w:p>
    <w:p w:rsidR="00692D5E" w:rsidRPr="006B7525" w:rsidRDefault="00692D5E" w:rsidP="00692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7525">
        <w:rPr>
          <w:color w:val="000000" w:themeColor="text1"/>
          <w:u w:color="000000" w:themeColor="text1"/>
        </w:rPr>
        <w:lastRenderedPageBreak/>
        <w:tab/>
        <w:t>(B)(1)</w:t>
      </w:r>
      <w:r w:rsidRPr="006B7525">
        <w:rPr>
          <w:color w:val="000000" w:themeColor="text1"/>
          <w:u w:color="000000" w:themeColor="text1"/>
        </w:rPr>
        <w:tab/>
        <w:t>A permit issued pursuant to subsection (A) authorizes a property owner to protect any structure, deck, and stairs or decks leading into the structure, on the property.  Stairs or decks leading to the beach do not qualify for protection.  A property owner may protect the property with wood bulkhead construction, rock revetment, filter cloth, beach sand, and beach compatible sand.  The protection may extend towards the beach no more than thirty</w:t>
      </w:r>
      <w:r w:rsidR="00351138">
        <w:rPr>
          <w:color w:val="000000" w:themeColor="text1"/>
          <w:u w:color="000000" w:themeColor="text1"/>
        </w:rPr>
        <w:noBreakHyphen/>
      </w:r>
      <w:r w:rsidRPr="006B7525">
        <w:rPr>
          <w:color w:val="000000" w:themeColor="text1"/>
          <w:u w:color="000000" w:themeColor="text1"/>
        </w:rPr>
        <w:t>five feet from the object closest to the beach that is being protected.  The protection may not extend more than eighteen inches above the base of the object being protected.</w:t>
      </w:r>
    </w:p>
    <w:p w:rsidR="00692D5E" w:rsidRPr="006B7525" w:rsidRDefault="00692D5E" w:rsidP="00692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7525">
        <w:rPr>
          <w:color w:val="000000" w:themeColor="text1"/>
          <w:u w:color="000000" w:themeColor="text1"/>
        </w:rPr>
        <w:tab/>
      </w:r>
      <w:r w:rsidRPr="006B7525">
        <w:rPr>
          <w:color w:val="000000" w:themeColor="text1"/>
          <w:u w:color="000000" w:themeColor="text1"/>
        </w:rPr>
        <w:tab/>
        <w:t>(2)</w:t>
      </w:r>
      <w:r w:rsidRPr="006B7525">
        <w:rPr>
          <w:color w:val="000000" w:themeColor="text1"/>
          <w:u w:color="000000" w:themeColor="text1"/>
        </w:rPr>
        <w:tab/>
        <w:t>A property owner that protects property pursuant to this section is responsible for all the costs associated with protecting the property.  Any property owner that protects property pursuant to this section must adequately maintain the means of protection, and is responsible for all the costs associated with the maintenance.</w:t>
      </w:r>
    </w:p>
    <w:p w:rsidR="00692D5E" w:rsidRPr="006B7525" w:rsidRDefault="00692D5E" w:rsidP="00692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7525">
        <w:rPr>
          <w:color w:val="000000" w:themeColor="text1"/>
          <w:u w:color="000000" w:themeColor="text1"/>
        </w:rPr>
        <w:tab/>
        <w:t>(C)</w:t>
      </w:r>
      <w:r w:rsidRPr="006B7525">
        <w:rPr>
          <w:color w:val="000000" w:themeColor="text1"/>
          <w:u w:color="000000" w:themeColor="text1"/>
        </w:rPr>
        <w:tab/>
        <w:t xml:space="preserve">For purposes of this section, </w:t>
      </w:r>
      <w:r w:rsidR="00351138" w:rsidRPr="00351138">
        <w:rPr>
          <w:color w:val="000000" w:themeColor="text1"/>
          <w:u w:color="000000" w:themeColor="text1"/>
        </w:rPr>
        <w:t>‘</w:t>
      </w:r>
      <w:r w:rsidRPr="006B7525">
        <w:rPr>
          <w:color w:val="000000" w:themeColor="text1"/>
          <w:u w:color="000000" w:themeColor="text1"/>
        </w:rPr>
        <w:t>emergency conditions</w:t>
      </w:r>
      <w:r w:rsidR="00351138" w:rsidRPr="00351138">
        <w:rPr>
          <w:color w:val="000000" w:themeColor="text1"/>
          <w:u w:color="000000" w:themeColor="text1"/>
        </w:rPr>
        <w:t>’</w:t>
      </w:r>
      <w:r w:rsidRPr="006B7525">
        <w:rPr>
          <w:color w:val="000000" w:themeColor="text1"/>
          <w:u w:color="000000" w:themeColor="text1"/>
        </w:rPr>
        <w:t xml:space="preserve"> means the waters of the Atlantic Ocean are ten feet or less from the object for which application is made to protect.”</w:t>
      </w:r>
    </w:p>
    <w:p w:rsidR="00692D5E" w:rsidRPr="006B7525" w:rsidRDefault="00692D5E" w:rsidP="00692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92D5E" w:rsidRPr="006B7525" w:rsidRDefault="00692D5E" w:rsidP="00692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7525">
        <w:rPr>
          <w:color w:val="000000" w:themeColor="text1"/>
          <w:u w:color="000000" w:themeColor="text1"/>
        </w:rPr>
        <w:t>SECTION</w:t>
      </w:r>
      <w:r w:rsidRPr="006B7525">
        <w:rPr>
          <w:color w:val="000000" w:themeColor="text1"/>
          <w:u w:color="000000" w:themeColor="text1"/>
        </w:rPr>
        <w:tab/>
        <w:t>2.</w:t>
      </w:r>
      <w:r w:rsidRPr="006B7525">
        <w:rPr>
          <w:color w:val="000000" w:themeColor="text1"/>
          <w:u w:color="000000" w:themeColor="text1"/>
        </w:rPr>
        <w:tab/>
        <w:t>This act takes effect January 1, 2012.</w:t>
      </w:r>
    </w:p>
    <w:p w:rsidR="003865C9" w:rsidRDefault="00351138"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865C9" w:rsidRDefault="003865C9" w:rsidP="00C95685">
      <w:pPr>
        <w:suppressAutoHyphens/>
      </w:pPr>
    </w:p>
    <w:sectPr w:rsidR="003865C9" w:rsidSect="00C95685">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92D5E" w:rsidRDefault="00692D5E" w:rsidP="009F0C77">
      <w:r>
        <w:separator/>
      </w:r>
    </w:p>
  </w:endnote>
  <w:endnote w:type="continuationSeparator" w:id="0">
    <w:p w:rsidR="00692D5E" w:rsidRDefault="00692D5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E0F8B06-B021-4867-AFC6-CD525CA3D889}"/>
    <w:embedBold r:id="rId2" w:fontKey="{F07DC84E-C043-4B7A-9B40-DF0AA1C3FB8E}"/>
  </w:font>
  <w:font w:name="Calibri">
    <w:panose1 w:val="020F0502020204030204"/>
    <w:charset w:val="00"/>
    <w:family w:val="swiss"/>
    <w:pitch w:val="variable"/>
    <w:sig w:usb0="E10002FF" w:usb1="4000ACFF" w:usb2="00000009" w:usb3="00000000" w:csb0="0000019F" w:csb1="00000000"/>
    <w:embedRegular r:id="rId3" w:fontKey="{4A06DCF7-A7EE-4DEA-98B6-9E156A6F8CBC}"/>
  </w:font>
  <w:font w:name="Cambria">
    <w:panose1 w:val="02040503050406030204"/>
    <w:charset w:val="00"/>
    <w:family w:val="roman"/>
    <w:pitch w:val="variable"/>
    <w:sig w:usb0="E00002FF" w:usb1="400004FF" w:usb2="00000000" w:usb3="00000000" w:csb0="0000019F" w:csb1="00000000"/>
    <w:embedRegular r:id="rId4" w:fontKey="{E7178646-1793-4852-9C62-0A552C9157B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5685" w:rsidRPr="003865C9" w:rsidRDefault="00C95685" w:rsidP="003865C9">
    <w:pPr>
      <w:pStyle w:val="Footer"/>
      <w:tabs>
        <w:tab w:val="clear" w:pos="4680"/>
        <w:tab w:val="clear" w:pos="9360"/>
        <w:tab w:val="center" w:pos="2995"/>
      </w:tabs>
      <w:spacing w:before="120"/>
    </w:pPr>
    <w:r>
      <w:t>[121]</w:t>
    </w:r>
    <w:r>
      <w:tab/>
    </w:r>
    <w:r w:rsidR="00441DBC">
      <w:fldChar w:fldCharType="begin"/>
    </w:r>
    <w:r w:rsidR="00441DBC">
      <w:instrText xml:space="preserve"> PAGE  \* MERGEFORMAT </w:instrText>
    </w:r>
    <w:r w:rsidR="00441DBC">
      <w:fldChar w:fldCharType="separate"/>
    </w:r>
    <w:r w:rsidR="009578F3">
      <w:rPr>
        <w:noProof/>
      </w:rPr>
      <w:t>1</w:t>
    </w:r>
    <w:r w:rsidR="00441DBC">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92D5E" w:rsidRDefault="00692D5E" w:rsidP="009F0C77">
      <w:r>
        <w:separator/>
      </w:r>
    </w:p>
  </w:footnote>
  <w:footnote w:type="continuationSeparator" w:id="0">
    <w:p w:rsidR="00692D5E" w:rsidRDefault="00692D5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3049DG13"/>
    <w:docVar w:name="CoverBillType" w:val="b"/>
    <w:docVar w:name="docpath" w:val="L:\Council\bills\NL\13049DG13.DOCX"/>
    <w:docVar w:name="dvBillNumber" w:val="121"/>
    <w:docVar w:name="dvBillNumberPrefix" w:val="S. "/>
    <w:docVar w:name="dvOriginalBody" w:val="Senate"/>
    <w:docVar w:name="dvSteno" w:val="NL"/>
    <w:docVar w:name="NameofBody" w:val="s"/>
    <w:docVar w:name="vgroup2" w:val="Council"/>
  </w:docVars>
  <w:rsids>
    <w:rsidRoot w:val="000156C7"/>
    <w:rsid w:val="000044EF"/>
    <w:rsid w:val="000156C7"/>
    <w:rsid w:val="00026C9A"/>
    <w:rsid w:val="000965A1"/>
    <w:rsid w:val="000C64B5"/>
    <w:rsid w:val="000E1785"/>
    <w:rsid w:val="000F39F2"/>
    <w:rsid w:val="001023A4"/>
    <w:rsid w:val="0010776B"/>
    <w:rsid w:val="00133E66"/>
    <w:rsid w:val="00134ACF"/>
    <w:rsid w:val="00144E15"/>
    <w:rsid w:val="001A4A62"/>
    <w:rsid w:val="001A5CDE"/>
    <w:rsid w:val="001A681E"/>
    <w:rsid w:val="001D08F2"/>
    <w:rsid w:val="001D170C"/>
    <w:rsid w:val="002037CA"/>
    <w:rsid w:val="002047A2"/>
    <w:rsid w:val="002321B6"/>
    <w:rsid w:val="0023696B"/>
    <w:rsid w:val="00250967"/>
    <w:rsid w:val="002759C5"/>
    <w:rsid w:val="00277DEE"/>
    <w:rsid w:val="00280D88"/>
    <w:rsid w:val="00294ABE"/>
    <w:rsid w:val="002A3EB4"/>
    <w:rsid w:val="00325348"/>
    <w:rsid w:val="00331E2C"/>
    <w:rsid w:val="00351138"/>
    <w:rsid w:val="003643AC"/>
    <w:rsid w:val="003865C9"/>
    <w:rsid w:val="00393688"/>
    <w:rsid w:val="003D1D6A"/>
    <w:rsid w:val="003D411E"/>
    <w:rsid w:val="003E3C1E"/>
    <w:rsid w:val="003E6148"/>
    <w:rsid w:val="003F17C9"/>
    <w:rsid w:val="00400EAA"/>
    <w:rsid w:val="0041760A"/>
    <w:rsid w:val="00441DBC"/>
    <w:rsid w:val="004809EE"/>
    <w:rsid w:val="00511EE9"/>
    <w:rsid w:val="00521E00"/>
    <w:rsid w:val="00577C6C"/>
    <w:rsid w:val="0058501B"/>
    <w:rsid w:val="006215AA"/>
    <w:rsid w:val="006340D9"/>
    <w:rsid w:val="00643B8E"/>
    <w:rsid w:val="00665EBC"/>
    <w:rsid w:val="00692D5E"/>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72729"/>
    <w:rsid w:val="0089067A"/>
    <w:rsid w:val="008F4429"/>
    <w:rsid w:val="008F5B06"/>
    <w:rsid w:val="00932670"/>
    <w:rsid w:val="009352BB"/>
    <w:rsid w:val="009578F3"/>
    <w:rsid w:val="00990668"/>
    <w:rsid w:val="009F0C77"/>
    <w:rsid w:val="009F4DD1"/>
    <w:rsid w:val="00A6328D"/>
    <w:rsid w:val="00A64E80"/>
    <w:rsid w:val="00A65872"/>
    <w:rsid w:val="00A741D9"/>
    <w:rsid w:val="00A83DFF"/>
    <w:rsid w:val="00A9741D"/>
    <w:rsid w:val="00AD4B17"/>
    <w:rsid w:val="00B26FA6"/>
    <w:rsid w:val="00B32C64"/>
    <w:rsid w:val="00B57F3A"/>
    <w:rsid w:val="00B741CB"/>
    <w:rsid w:val="00B934F3"/>
    <w:rsid w:val="00BB6347"/>
    <w:rsid w:val="00BD2134"/>
    <w:rsid w:val="00C038D8"/>
    <w:rsid w:val="00C045DD"/>
    <w:rsid w:val="00C3136F"/>
    <w:rsid w:val="00C3483A"/>
    <w:rsid w:val="00C74E9D"/>
    <w:rsid w:val="00C82FD3"/>
    <w:rsid w:val="00C95685"/>
    <w:rsid w:val="00CC6B7B"/>
    <w:rsid w:val="00CD3619"/>
    <w:rsid w:val="00CE4077"/>
    <w:rsid w:val="00CF4447"/>
    <w:rsid w:val="00D405E7"/>
    <w:rsid w:val="00D41D56"/>
    <w:rsid w:val="00D441F5"/>
    <w:rsid w:val="00D6260D"/>
    <w:rsid w:val="00D6662B"/>
    <w:rsid w:val="00D95E2F"/>
    <w:rsid w:val="00D970A9"/>
    <w:rsid w:val="00DB3AC0"/>
    <w:rsid w:val="00DE68F0"/>
    <w:rsid w:val="00DF3845"/>
    <w:rsid w:val="00DF7E17"/>
    <w:rsid w:val="00EB00A2"/>
    <w:rsid w:val="00EB1BF3"/>
    <w:rsid w:val="00EF3EEE"/>
    <w:rsid w:val="00F149A7"/>
    <w:rsid w:val="00F30E2E"/>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0D9968F6-A252-4386-A086-2BE4F9B019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0044EF"/>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0044EF"/>
    <w:pPr>
      <w:tabs>
        <w:tab w:val="right" w:pos="5904"/>
      </w:tabs>
    </w:pPr>
  </w:style>
  <w:style w:type="character" w:styleId="Hyperlink">
    <w:name w:val="Hyperlink"/>
    <w:basedOn w:val="DefaultParagraphFont"/>
    <w:uiPriority w:val="99"/>
    <w:unhideWhenUsed/>
    <w:rsid w:val="00C9568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3\01-08-13.docx" TargetMode="External"/><Relationship Id="rId3" Type="http://schemas.openxmlformats.org/officeDocument/2006/relationships/settings" Target="settings.xml"/><Relationship Id="rId7" Type="http://schemas.openxmlformats.org/officeDocument/2006/relationships/hyperlink" Target="file:///h:\SJ%20Archive\2013\01-08-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121_20121218.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5052DC-A063-4157-A0E8-89276C2937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7E40D0D.dotm</Template>
  <TotalTime>0</TotalTime>
  <Pages>3</Pages>
  <Words>562</Words>
  <Characters>3207</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3762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121: Property owners, allowed to apply to DHEC to protect property from the waters of the Atlantic Ocean - South Carolina Legislature Online</dc:title>
  <dc:subject/>
  <dc:creator>nancylee</dc:creator>
  <cp:keywords/>
  <dc:description/>
  <cp:lastModifiedBy>N Cumfer</cp:lastModifiedBy>
  <cp:revision>9</cp:revision>
  <dcterms:created xsi:type="dcterms:W3CDTF">2012-12-18T19:43:00Z</dcterms:created>
  <dcterms:modified xsi:type="dcterms:W3CDTF">2014-12-04T20:34:00Z</dcterms:modified>
</cp:coreProperties>
</file>