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68D">
        <w:rPr>
          <w:rFonts w:cs="Times New Roman"/>
          <w:b/>
        </w:rPr>
        <w:t>South Carolina General Assembly</w:t>
      </w: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68D">
        <w:rPr>
          <w:rFonts w:cs="Times New Roman"/>
        </w:rPr>
        <w:t>120th Session, 2013-2014</w:t>
      </w: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8D" w:rsidRPr="001D668D" w:rsidRDefault="00AE7D63"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 R7, S3</w:t>
      </w: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8D">
        <w:rPr>
          <w:rFonts w:cs="Times New Roman"/>
          <w:b/>
        </w:rPr>
        <w:t>STATUS INFORMATION</w:t>
      </w: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8D">
        <w:rPr>
          <w:rFonts w:cs="Times New Roman"/>
        </w:rPr>
        <w:t>General Bill</w:t>
      </w: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8D">
        <w:rPr>
          <w:rFonts w:cs="Times New Roman"/>
        </w:rPr>
        <w:t>Sponsors: Senators L. Martin, Hayes, Fair and Campsen</w:t>
      </w: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8D">
        <w:rPr>
          <w:rFonts w:cs="Times New Roman"/>
        </w:rPr>
        <w:t>Document Path: l:\s-jud\bills\l. martin\jud0024.kw.docx</w:t>
      </w: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8D">
        <w:rPr>
          <w:rFonts w:cs="Times New Roman"/>
        </w:rPr>
        <w:t>Companion/Similar bill(s): 3025</w:t>
      </w: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74CD" w:rsidRDefault="004174C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2013</w:t>
      </w:r>
    </w:p>
    <w:p w:rsidR="004174CD" w:rsidRDefault="004174C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17, 2013</w:t>
      </w:r>
    </w:p>
    <w:p w:rsidR="004174CD" w:rsidRDefault="004174C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21, 2013</w:t>
      </w:r>
    </w:p>
    <w:p w:rsidR="004174CD" w:rsidRDefault="004174C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22, 2013, Signed</w:t>
      </w:r>
    </w:p>
    <w:p w:rsidR="004174CD" w:rsidRDefault="004174C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8D">
        <w:rPr>
          <w:rFonts w:cs="Times New Roman"/>
        </w:rPr>
        <w:t>Summary: Bingo, raffles, and other special events</w:t>
      </w: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8D" w:rsidRPr="001D668D" w:rsidRDefault="001D668D" w:rsidP="001D668D">
      <w:pPr>
        <w:widowControl w:val="0"/>
        <w:tabs>
          <w:tab w:val="center" w:pos="590"/>
          <w:tab w:val="center" w:pos="1440"/>
          <w:tab w:val="left" w:pos="1872"/>
          <w:tab w:val="left" w:pos="9187"/>
        </w:tabs>
        <w:rPr>
          <w:rFonts w:cs="Times New Roman"/>
        </w:rPr>
      </w:pPr>
      <w:r w:rsidRPr="001D668D">
        <w:rPr>
          <w:rFonts w:cs="Times New Roman"/>
          <w:b/>
        </w:rPr>
        <w:t>HISTORY OF LEGISLATIVE ACTIONS</w:t>
      </w:r>
    </w:p>
    <w:p w:rsidR="001D668D" w:rsidRPr="001D668D" w:rsidRDefault="001D668D" w:rsidP="001D668D">
      <w:pPr>
        <w:widowControl w:val="0"/>
        <w:tabs>
          <w:tab w:val="center" w:pos="590"/>
          <w:tab w:val="center" w:pos="1440"/>
          <w:tab w:val="left" w:pos="1872"/>
          <w:tab w:val="left" w:pos="9187"/>
        </w:tabs>
        <w:rPr>
          <w:rFonts w:cs="Times New Roman"/>
        </w:rPr>
      </w:pPr>
    </w:p>
    <w:p w:rsidR="001D668D" w:rsidRPr="001D668D" w:rsidRDefault="001D668D" w:rsidP="001D668D">
      <w:pPr>
        <w:widowControl w:val="0"/>
        <w:tabs>
          <w:tab w:val="center" w:pos="590"/>
          <w:tab w:val="center" w:pos="1440"/>
          <w:tab w:val="left" w:pos="1872"/>
          <w:tab w:val="left" w:pos="9187"/>
        </w:tabs>
        <w:rPr>
          <w:rFonts w:cs="Times New Roman"/>
        </w:rPr>
      </w:pPr>
      <w:r w:rsidRPr="001D668D">
        <w:rPr>
          <w:rFonts w:cs="Times New Roman"/>
          <w:u w:val="single"/>
        </w:rPr>
        <w:tab/>
        <w:t>Date</w:t>
      </w:r>
      <w:r w:rsidRPr="001D668D">
        <w:rPr>
          <w:rFonts w:cs="Times New Roman"/>
          <w:u w:val="single"/>
        </w:rPr>
        <w:tab/>
        <w:t>Body</w:t>
      </w:r>
      <w:r w:rsidRPr="001D668D">
        <w:rPr>
          <w:rFonts w:cs="Times New Roman"/>
          <w:u w:val="single"/>
        </w:rPr>
        <w:tab/>
        <w:t>Action Description with journal page number</w:t>
      </w:r>
      <w:r w:rsidRPr="001D668D">
        <w:rPr>
          <w:rFonts w:cs="Times New Roman"/>
          <w:u w:val="single"/>
        </w:rPr>
        <w:tab/>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350015">
        <w:rPr>
          <w:rFonts w:cs="Times New Roman"/>
        </w:rPr>
        <w:t>Prefiled</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350015">
        <w:rPr>
          <w:rFonts w:cs="Times New Roman"/>
        </w:rPr>
        <w:t xml:space="preserve">Referred to Committee on </w:t>
      </w:r>
      <w:r w:rsidRPr="00350015">
        <w:rPr>
          <w:rFonts w:cs="Times New Roman"/>
          <w:b/>
        </w:rPr>
        <w:t>Judiciary</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12/14/2012</w:t>
      </w:r>
      <w:r>
        <w:rPr>
          <w:rFonts w:cs="Times New Roman"/>
        </w:rPr>
        <w:tab/>
        <w:t>Senate</w:t>
      </w:r>
      <w:r>
        <w:rPr>
          <w:rFonts w:cs="Times New Roman"/>
        </w:rPr>
        <w:tab/>
      </w:r>
      <w:r w:rsidRPr="00350015">
        <w:rPr>
          <w:rFonts w:cs="Times New Roman"/>
        </w:rPr>
        <w:t>Referred to Subc</w:t>
      </w:r>
      <w:r>
        <w:rPr>
          <w:rFonts w:cs="Times New Roman"/>
        </w:rPr>
        <w:t xml:space="preserve">ommittee: Massey (ch), Coleman, </w:t>
      </w:r>
      <w:r w:rsidRPr="00350015">
        <w:rPr>
          <w:rFonts w:cs="Times New Roman"/>
        </w:rPr>
        <w:t>Gregory, Corbin, Allen</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350015">
        <w:rPr>
          <w:rFonts w:cs="Times New Roman"/>
        </w:rPr>
        <w:t>Introduced and read first time (</w:t>
      </w:r>
      <w:hyperlink r:id="rId6" w:history="1">
        <w:r w:rsidRPr="00350015">
          <w:rPr>
            <w:rStyle w:val="Hyperlink"/>
            <w:rFonts w:cs="Times New Roman"/>
          </w:rPr>
          <w:t>Senate Journal</w:t>
        </w:r>
        <w:r w:rsidRPr="00350015">
          <w:rPr>
            <w:rStyle w:val="Hyperlink"/>
            <w:rFonts w:cs="Times New Roman"/>
          </w:rPr>
          <w:noBreakHyphen/>
          <w:t>page 18</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350015">
        <w:rPr>
          <w:rFonts w:cs="Times New Roman"/>
        </w:rPr>
        <w:t>Ref</w:t>
      </w:r>
      <w:r>
        <w:rPr>
          <w:rFonts w:cs="Times New Roman"/>
        </w:rPr>
        <w:t xml:space="preserve">erred to Committee on </w:t>
      </w:r>
      <w:r w:rsidRPr="00350015">
        <w:rPr>
          <w:rFonts w:cs="Times New Roman"/>
          <w:b/>
        </w:rPr>
        <w:t>Judiciary</w:t>
      </w:r>
      <w:r>
        <w:rPr>
          <w:rFonts w:cs="Times New Roman"/>
        </w:rPr>
        <w:t xml:space="preserve"> </w:t>
      </w:r>
      <w:r w:rsidRPr="00350015">
        <w:rPr>
          <w:rFonts w:cs="Times New Roman"/>
        </w:rPr>
        <w:t>(</w:t>
      </w:r>
      <w:hyperlink r:id="rId7" w:history="1">
        <w:r w:rsidRPr="00350015">
          <w:rPr>
            <w:rStyle w:val="Hyperlink"/>
            <w:rFonts w:cs="Times New Roman"/>
          </w:rPr>
          <w:t>Senate Journal</w:t>
        </w:r>
        <w:r w:rsidRPr="00350015">
          <w:rPr>
            <w:rStyle w:val="Hyperlink"/>
            <w:rFonts w:cs="Times New Roman"/>
          </w:rPr>
          <w:noBreakHyphen/>
          <w:t>page 18</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1/9/2013</w:t>
      </w:r>
      <w:r>
        <w:rPr>
          <w:rFonts w:cs="Times New Roman"/>
        </w:rPr>
        <w:tab/>
        <w:t>Senate</w:t>
      </w:r>
      <w:r>
        <w:rPr>
          <w:rFonts w:cs="Times New Roman"/>
        </w:rPr>
        <w:tab/>
      </w:r>
      <w:r w:rsidRPr="00350015">
        <w:rPr>
          <w:rFonts w:cs="Times New Roman"/>
        </w:rPr>
        <w:t>Committee repor</w:t>
      </w:r>
      <w:r>
        <w:rPr>
          <w:rFonts w:cs="Times New Roman"/>
        </w:rPr>
        <w:t xml:space="preserve">t: Majority favorable, minority </w:t>
      </w:r>
      <w:r w:rsidRPr="00350015">
        <w:rPr>
          <w:rFonts w:cs="Times New Roman"/>
        </w:rPr>
        <w:t xml:space="preserve">unfavorable </w:t>
      </w:r>
      <w:r w:rsidRPr="00350015">
        <w:rPr>
          <w:rFonts w:cs="Times New Roman"/>
          <w:b/>
        </w:rPr>
        <w:t>Judiciary</w:t>
      </w:r>
      <w:r w:rsidRPr="00350015">
        <w:rPr>
          <w:rFonts w:cs="Times New Roman"/>
        </w:rPr>
        <w:t xml:space="preserve"> (</w:t>
      </w:r>
      <w:hyperlink r:id="rId8" w:history="1">
        <w:r w:rsidRPr="00350015">
          <w:rPr>
            <w:rStyle w:val="Hyperlink"/>
            <w:rFonts w:cs="Times New Roman"/>
          </w:rPr>
          <w:t>Senate Journal</w:t>
        </w:r>
        <w:r w:rsidRPr="00350015">
          <w:rPr>
            <w:rStyle w:val="Hyperlink"/>
            <w:rFonts w:cs="Times New Roman"/>
          </w:rPr>
          <w:noBreakHyphen/>
          <w:t>page 14</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1/15/2013</w:t>
      </w:r>
      <w:r>
        <w:rPr>
          <w:rFonts w:cs="Times New Roman"/>
        </w:rPr>
        <w:tab/>
        <w:t>Senate</w:t>
      </w:r>
      <w:r>
        <w:rPr>
          <w:rFonts w:cs="Times New Roman"/>
        </w:rPr>
        <w:tab/>
      </w:r>
      <w:r w:rsidRPr="00350015">
        <w:rPr>
          <w:rFonts w:cs="Times New Roman"/>
        </w:rPr>
        <w:t>Minority Report Removed (</w:t>
      </w:r>
      <w:hyperlink r:id="rId9" w:history="1">
        <w:r w:rsidRPr="00350015">
          <w:rPr>
            <w:rStyle w:val="Hyperlink"/>
            <w:rFonts w:cs="Times New Roman"/>
          </w:rPr>
          <w:t>Senate Journal</w:t>
        </w:r>
        <w:r w:rsidRPr="00350015">
          <w:rPr>
            <w:rStyle w:val="Hyperlink"/>
            <w:rFonts w:cs="Times New Roman"/>
          </w:rPr>
          <w:noBreakHyphen/>
          <w:t>page 12</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1/15/2013</w:t>
      </w:r>
      <w:r>
        <w:rPr>
          <w:rFonts w:cs="Times New Roman"/>
        </w:rPr>
        <w:tab/>
        <w:t>Senate</w:t>
      </w:r>
      <w:r>
        <w:rPr>
          <w:rFonts w:cs="Times New Roman"/>
        </w:rPr>
        <w:tab/>
      </w:r>
      <w:r w:rsidRPr="00350015">
        <w:rPr>
          <w:rFonts w:cs="Times New Roman"/>
        </w:rPr>
        <w:t>Read second time (</w:t>
      </w:r>
      <w:hyperlink r:id="rId10" w:history="1">
        <w:r w:rsidRPr="00350015">
          <w:rPr>
            <w:rStyle w:val="Hyperlink"/>
            <w:rFonts w:cs="Times New Roman"/>
          </w:rPr>
          <w:t>Senate Journal</w:t>
        </w:r>
        <w:r w:rsidRPr="00350015">
          <w:rPr>
            <w:rStyle w:val="Hyperlink"/>
            <w:rFonts w:cs="Times New Roman"/>
          </w:rPr>
          <w:noBreakHyphen/>
          <w:t>page 12</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1/15/2013</w:t>
      </w:r>
      <w:r>
        <w:rPr>
          <w:rFonts w:cs="Times New Roman"/>
        </w:rPr>
        <w:tab/>
        <w:t>Senate</w:t>
      </w:r>
      <w:r>
        <w:rPr>
          <w:rFonts w:cs="Times New Roman"/>
        </w:rPr>
        <w:tab/>
      </w:r>
      <w:r w:rsidRPr="00350015">
        <w:rPr>
          <w:rFonts w:cs="Times New Roman"/>
        </w:rPr>
        <w:t>Roll call Ayes</w:t>
      </w:r>
      <w:r>
        <w:rPr>
          <w:rFonts w:cs="Times New Roman"/>
        </w:rPr>
        <w:noBreakHyphen/>
      </w:r>
      <w:r w:rsidRPr="00350015">
        <w:rPr>
          <w:rFonts w:cs="Times New Roman"/>
        </w:rPr>
        <w:t>40  Nays</w:t>
      </w:r>
      <w:r>
        <w:rPr>
          <w:rFonts w:cs="Times New Roman"/>
        </w:rPr>
        <w:noBreakHyphen/>
      </w:r>
      <w:r w:rsidRPr="00350015">
        <w:rPr>
          <w:rFonts w:cs="Times New Roman"/>
        </w:rPr>
        <w:t>2 (</w:t>
      </w:r>
      <w:hyperlink r:id="rId11" w:history="1">
        <w:r w:rsidRPr="00350015">
          <w:rPr>
            <w:rStyle w:val="Hyperlink"/>
            <w:rFonts w:cs="Times New Roman"/>
          </w:rPr>
          <w:t>Senate Journal</w:t>
        </w:r>
        <w:r w:rsidRPr="00350015">
          <w:rPr>
            <w:rStyle w:val="Hyperlink"/>
            <w:rFonts w:cs="Times New Roman"/>
          </w:rPr>
          <w:noBreakHyphen/>
          <w:t>page 12</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Senate</w:t>
      </w:r>
      <w:r>
        <w:rPr>
          <w:rFonts w:cs="Times New Roman"/>
        </w:rPr>
        <w:tab/>
      </w:r>
      <w:r w:rsidRPr="00350015">
        <w:rPr>
          <w:rFonts w:cs="Times New Roman"/>
        </w:rPr>
        <w:t>Re</w:t>
      </w:r>
      <w:r>
        <w:rPr>
          <w:rFonts w:cs="Times New Roman"/>
        </w:rPr>
        <w:t xml:space="preserve">ad third time and sent to House </w:t>
      </w:r>
      <w:r w:rsidRPr="00350015">
        <w:rPr>
          <w:rFonts w:cs="Times New Roman"/>
        </w:rPr>
        <w:t>(</w:t>
      </w:r>
      <w:hyperlink r:id="rId12" w:history="1">
        <w:r w:rsidRPr="00350015">
          <w:rPr>
            <w:rStyle w:val="Hyperlink"/>
            <w:rFonts w:cs="Times New Roman"/>
          </w:rPr>
          <w:t>Senate Journal</w:t>
        </w:r>
        <w:r w:rsidRPr="00350015">
          <w:rPr>
            <w:rStyle w:val="Hyperlink"/>
            <w:rFonts w:cs="Times New Roman"/>
          </w:rPr>
          <w:noBreakHyphen/>
          <w:t>page 19</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350015">
        <w:rPr>
          <w:rFonts w:cs="Times New Roman"/>
        </w:rPr>
        <w:t>Introduced and read first time (</w:t>
      </w:r>
      <w:hyperlink r:id="rId13" w:history="1">
        <w:r w:rsidRPr="00350015">
          <w:rPr>
            <w:rStyle w:val="Hyperlink"/>
            <w:rFonts w:cs="Times New Roman"/>
          </w:rPr>
          <w:t>House Journal</w:t>
        </w:r>
        <w:r w:rsidRPr="00350015">
          <w:rPr>
            <w:rStyle w:val="Hyperlink"/>
            <w:rFonts w:cs="Times New Roman"/>
          </w:rPr>
          <w:noBreakHyphen/>
          <w:t>page 12</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350015">
        <w:rPr>
          <w:rFonts w:cs="Times New Roman"/>
        </w:rPr>
        <w:t>Ref</w:t>
      </w:r>
      <w:r>
        <w:rPr>
          <w:rFonts w:cs="Times New Roman"/>
        </w:rPr>
        <w:t xml:space="preserve">erred to Committee on </w:t>
      </w:r>
      <w:r w:rsidRPr="00350015">
        <w:rPr>
          <w:rFonts w:cs="Times New Roman"/>
          <w:b/>
        </w:rPr>
        <w:t>Judiciary</w:t>
      </w:r>
      <w:r>
        <w:rPr>
          <w:rFonts w:cs="Times New Roman"/>
        </w:rPr>
        <w:t xml:space="preserve"> </w:t>
      </w:r>
      <w:r w:rsidRPr="00350015">
        <w:rPr>
          <w:rFonts w:cs="Times New Roman"/>
        </w:rPr>
        <w:t>(</w:t>
      </w:r>
      <w:hyperlink r:id="rId14" w:history="1">
        <w:r w:rsidRPr="00350015">
          <w:rPr>
            <w:rStyle w:val="Hyperlink"/>
            <w:rFonts w:cs="Times New Roman"/>
          </w:rPr>
          <w:t>House Journal</w:t>
        </w:r>
        <w:r w:rsidRPr="00350015">
          <w:rPr>
            <w:rStyle w:val="Hyperlink"/>
            <w:rFonts w:cs="Times New Roman"/>
          </w:rPr>
          <w:noBreakHyphen/>
          <w:t>page 12</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350015">
        <w:rPr>
          <w:rFonts w:cs="Times New Roman"/>
        </w:rPr>
        <w:t>Commit</w:t>
      </w:r>
      <w:r>
        <w:rPr>
          <w:rFonts w:cs="Times New Roman"/>
        </w:rPr>
        <w:t xml:space="preserve">tee report: Favorable </w:t>
      </w:r>
      <w:r w:rsidRPr="00350015">
        <w:rPr>
          <w:rFonts w:cs="Times New Roman"/>
          <w:b/>
        </w:rPr>
        <w:t>Judiciary</w:t>
      </w:r>
      <w:r>
        <w:rPr>
          <w:rFonts w:cs="Times New Roman"/>
        </w:rPr>
        <w:t xml:space="preserve"> </w:t>
      </w:r>
      <w:r w:rsidRPr="00350015">
        <w:rPr>
          <w:rFonts w:cs="Times New Roman"/>
        </w:rPr>
        <w:t>(</w:t>
      </w:r>
      <w:hyperlink r:id="rId15" w:history="1">
        <w:r w:rsidRPr="00350015">
          <w:rPr>
            <w:rStyle w:val="Hyperlink"/>
            <w:rFonts w:cs="Times New Roman"/>
          </w:rPr>
          <w:t>House Journal</w:t>
        </w:r>
        <w:r w:rsidRPr="00350015">
          <w:rPr>
            <w:rStyle w:val="Hyperlink"/>
            <w:rFonts w:cs="Times New Roman"/>
          </w:rPr>
          <w:noBreakHyphen/>
          <w:t>page 2</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350015">
        <w:rPr>
          <w:rFonts w:cs="Times New Roman"/>
        </w:rPr>
        <w:t>Requests for d</w:t>
      </w:r>
      <w:r>
        <w:rPr>
          <w:rFonts w:cs="Times New Roman"/>
        </w:rPr>
        <w:t>ebate</w:t>
      </w:r>
      <w:r>
        <w:rPr>
          <w:rFonts w:cs="Times New Roman"/>
        </w:rPr>
        <w:noBreakHyphen/>
        <w:t xml:space="preserve">Rep(s). Rutherford, Neal, </w:t>
      </w:r>
      <w:r w:rsidRPr="00350015">
        <w:rPr>
          <w:rFonts w:cs="Times New Roman"/>
        </w:rPr>
        <w:t>Brannon, JE Smith,</w:t>
      </w:r>
      <w:r>
        <w:rPr>
          <w:rFonts w:cs="Times New Roman"/>
        </w:rPr>
        <w:t xml:space="preserve"> Sandifer, Pitts, Merrill, </w:t>
      </w:r>
      <w:r w:rsidRPr="00350015">
        <w:rPr>
          <w:rFonts w:cs="Times New Roman"/>
        </w:rPr>
        <w:t>Munnerlyn, S</w:t>
      </w:r>
      <w:r>
        <w:rPr>
          <w:rFonts w:cs="Times New Roman"/>
        </w:rPr>
        <w:t xml:space="preserve">abb, Hart, Alexander, Williams, </w:t>
      </w:r>
      <w:r w:rsidRPr="00350015">
        <w:rPr>
          <w:rFonts w:cs="Times New Roman"/>
        </w:rPr>
        <w:t>King, Mitch</w:t>
      </w:r>
      <w:r>
        <w:rPr>
          <w:rFonts w:cs="Times New Roman"/>
        </w:rPr>
        <w:t xml:space="preserve">ell, Weeks, Hosey, Anderson, RL </w:t>
      </w:r>
      <w:r w:rsidRPr="00350015">
        <w:rPr>
          <w:rFonts w:cs="Times New Roman"/>
        </w:rPr>
        <w:t>Brown, Forres</w:t>
      </w:r>
      <w:r>
        <w:rPr>
          <w:rFonts w:cs="Times New Roman"/>
        </w:rPr>
        <w:t xml:space="preserve">ter, Tallon, Nanney, Henderson, </w:t>
      </w:r>
      <w:r w:rsidRPr="00350015">
        <w:rPr>
          <w:rFonts w:cs="Times New Roman"/>
        </w:rPr>
        <w:t xml:space="preserve">Ryhal, Wood, </w:t>
      </w:r>
      <w:r>
        <w:rPr>
          <w:rFonts w:cs="Times New Roman"/>
        </w:rPr>
        <w:t xml:space="preserve">Gilliard, Loftis, JR Smith, </w:t>
      </w:r>
      <w:r w:rsidRPr="00350015">
        <w:rPr>
          <w:rFonts w:cs="Times New Roman"/>
        </w:rPr>
        <w:t>Bedingfiel</w:t>
      </w:r>
      <w:r>
        <w:rPr>
          <w:rFonts w:cs="Times New Roman"/>
        </w:rPr>
        <w:t>d, Robinson</w:t>
      </w:r>
      <w:r>
        <w:rPr>
          <w:rFonts w:cs="Times New Roman"/>
        </w:rPr>
        <w:noBreakHyphen/>
        <w:t xml:space="preserve">Simpson, McEachern, </w:t>
      </w:r>
      <w:r w:rsidRPr="00350015">
        <w:rPr>
          <w:rFonts w:cs="Times New Roman"/>
        </w:rPr>
        <w:t>Taylor, Hixon, Douglas (</w:t>
      </w:r>
      <w:hyperlink r:id="rId16" w:history="1">
        <w:r w:rsidRPr="00350015">
          <w:rPr>
            <w:rStyle w:val="Hyperlink"/>
            <w:rFonts w:cs="Times New Roman"/>
          </w:rPr>
          <w:t>House Journal</w:t>
        </w:r>
        <w:r w:rsidRPr="00350015">
          <w:rPr>
            <w:rStyle w:val="Hyperlink"/>
            <w:rFonts w:cs="Times New Roman"/>
          </w:rPr>
          <w:noBreakHyphen/>
          <w:t>page 32</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350015">
        <w:rPr>
          <w:rFonts w:cs="Times New Roman"/>
        </w:rPr>
        <w:t>Debate</w:t>
      </w:r>
      <w:r>
        <w:rPr>
          <w:rFonts w:cs="Times New Roman"/>
        </w:rPr>
        <w:t xml:space="preserve"> adjourned until Thur., 2</w:t>
      </w:r>
      <w:r>
        <w:rPr>
          <w:rFonts w:cs="Times New Roman"/>
        </w:rPr>
        <w:noBreakHyphen/>
        <w:t>28</w:t>
      </w:r>
      <w:r>
        <w:rPr>
          <w:rFonts w:cs="Times New Roman"/>
        </w:rPr>
        <w:noBreakHyphen/>
        <w:t xml:space="preserve">13 </w:t>
      </w:r>
      <w:r w:rsidRPr="00350015">
        <w:rPr>
          <w:rFonts w:cs="Times New Roman"/>
        </w:rPr>
        <w:t>(</w:t>
      </w:r>
      <w:hyperlink r:id="rId17" w:history="1">
        <w:r w:rsidRPr="00350015">
          <w:rPr>
            <w:rStyle w:val="Hyperlink"/>
            <w:rFonts w:cs="Times New Roman"/>
          </w:rPr>
          <w:t>House Journal</w:t>
        </w:r>
        <w:r w:rsidRPr="00350015">
          <w:rPr>
            <w:rStyle w:val="Hyperlink"/>
            <w:rFonts w:cs="Times New Roman"/>
          </w:rPr>
          <w:noBreakHyphen/>
          <w:t>page 42</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350015">
        <w:rPr>
          <w:rFonts w:cs="Times New Roman"/>
        </w:rPr>
        <w:t>Reconsider v</w:t>
      </w:r>
      <w:r>
        <w:rPr>
          <w:rFonts w:cs="Times New Roman"/>
        </w:rPr>
        <w:t xml:space="preserve">ote whereby debate adjourned to </w:t>
      </w:r>
      <w:r w:rsidRPr="00350015">
        <w:rPr>
          <w:rFonts w:cs="Times New Roman"/>
        </w:rPr>
        <w:t>Thur., 2</w:t>
      </w:r>
      <w:r>
        <w:rPr>
          <w:rFonts w:cs="Times New Roman"/>
        </w:rPr>
        <w:noBreakHyphen/>
      </w:r>
      <w:r w:rsidRPr="00350015">
        <w:rPr>
          <w:rFonts w:cs="Times New Roman"/>
        </w:rPr>
        <w:t>28</w:t>
      </w:r>
      <w:r>
        <w:rPr>
          <w:rFonts w:cs="Times New Roman"/>
        </w:rPr>
        <w:noBreakHyphen/>
      </w:r>
      <w:r w:rsidRPr="00350015">
        <w:rPr>
          <w:rFonts w:cs="Times New Roman"/>
        </w:rPr>
        <w:t>13 (</w:t>
      </w:r>
      <w:hyperlink r:id="rId18" w:history="1">
        <w:r w:rsidRPr="00350015">
          <w:rPr>
            <w:rStyle w:val="Hyperlink"/>
            <w:rFonts w:cs="Times New Roman"/>
          </w:rPr>
          <w:t>House Journal</w:t>
        </w:r>
        <w:r w:rsidRPr="00350015">
          <w:rPr>
            <w:rStyle w:val="Hyperlink"/>
            <w:rFonts w:cs="Times New Roman"/>
          </w:rPr>
          <w:noBreakHyphen/>
          <w:t>page 61</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350015">
        <w:rPr>
          <w:rFonts w:cs="Times New Roman"/>
        </w:rPr>
        <w:t>Deba</w:t>
      </w:r>
      <w:r>
        <w:rPr>
          <w:rFonts w:cs="Times New Roman"/>
        </w:rPr>
        <w:t>te adjourned until Wed., 3</w:t>
      </w:r>
      <w:r>
        <w:rPr>
          <w:rFonts w:cs="Times New Roman"/>
        </w:rPr>
        <w:noBreakHyphen/>
        <w:t>6</w:t>
      </w:r>
      <w:r>
        <w:rPr>
          <w:rFonts w:cs="Times New Roman"/>
        </w:rPr>
        <w:noBreakHyphen/>
        <w:t xml:space="preserve">13 </w:t>
      </w:r>
      <w:r w:rsidRPr="00350015">
        <w:rPr>
          <w:rFonts w:cs="Times New Roman"/>
        </w:rPr>
        <w:t>(</w:t>
      </w:r>
      <w:hyperlink r:id="rId19" w:history="1">
        <w:r w:rsidRPr="00350015">
          <w:rPr>
            <w:rStyle w:val="Hyperlink"/>
            <w:rFonts w:cs="Times New Roman"/>
          </w:rPr>
          <w:t>House Journal</w:t>
        </w:r>
        <w:r w:rsidRPr="00350015">
          <w:rPr>
            <w:rStyle w:val="Hyperlink"/>
            <w:rFonts w:cs="Times New Roman"/>
          </w:rPr>
          <w:noBreakHyphen/>
          <w:t>page 61</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350015">
        <w:rPr>
          <w:rFonts w:cs="Times New Roman"/>
        </w:rPr>
        <w:t>Debate</w:t>
      </w:r>
      <w:r>
        <w:rPr>
          <w:rFonts w:cs="Times New Roman"/>
        </w:rPr>
        <w:t xml:space="preserve"> adjourned until Tues., 3</w:t>
      </w:r>
      <w:r>
        <w:rPr>
          <w:rFonts w:cs="Times New Roman"/>
        </w:rPr>
        <w:noBreakHyphen/>
        <w:t>19</w:t>
      </w:r>
      <w:r>
        <w:rPr>
          <w:rFonts w:cs="Times New Roman"/>
        </w:rPr>
        <w:noBreakHyphen/>
        <w:t xml:space="preserve">13 </w:t>
      </w:r>
      <w:r w:rsidRPr="00350015">
        <w:rPr>
          <w:rFonts w:cs="Times New Roman"/>
        </w:rPr>
        <w:t>(</w:t>
      </w:r>
      <w:hyperlink r:id="rId20" w:history="1">
        <w:r w:rsidRPr="00350015">
          <w:rPr>
            <w:rStyle w:val="Hyperlink"/>
            <w:rFonts w:cs="Times New Roman"/>
          </w:rPr>
          <w:t>House Journal</w:t>
        </w:r>
        <w:r w:rsidRPr="00350015">
          <w:rPr>
            <w:rStyle w:val="Hyperlink"/>
            <w:rFonts w:cs="Times New Roman"/>
          </w:rPr>
          <w:noBreakHyphen/>
          <w:t>page 37</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350015">
        <w:rPr>
          <w:rFonts w:cs="Times New Roman"/>
        </w:rPr>
        <w:t>Read second time (</w:t>
      </w:r>
      <w:hyperlink r:id="rId21" w:history="1">
        <w:r w:rsidRPr="00350015">
          <w:rPr>
            <w:rStyle w:val="Hyperlink"/>
            <w:rFonts w:cs="Times New Roman"/>
          </w:rPr>
          <w:t>House Journal</w:t>
        </w:r>
        <w:r w:rsidRPr="00350015">
          <w:rPr>
            <w:rStyle w:val="Hyperlink"/>
            <w:rFonts w:cs="Times New Roman"/>
          </w:rPr>
          <w:noBreakHyphen/>
          <w:t>page 23</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350015">
        <w:rPr>
          <w:rFonts w:cs="Times New Roman"/>
        </w:rPr>
        <w:t>Roll call Yeas</w:t>
      </w:r>
      <w:r>
        <w:rPr>
          <w:rFonts w:cs="Times New Roman"/>
        </w:rPr>
        <w:noBreakHyphen/>
      </w:r>
      <w:r w:rsidRPr="00350015">
        <w:rPr>
          <w:rFonts w:cs="Times New Roman"/>
        </w:rPr>
        <w:t>88  Nays</w:t>
      </w:r>
      <w:r>
        <w:rPr>
          <w:rFonts w:cs="Times New Roman"/>
        </w:rPr>
        <w:noBreakHyphen/>
      </w:r>
      <w:r w:rsidRPr="00350015">
        <w:rPr>
          <w:rFonts w:cs="Times New Roman"/>
        </w:rPr>
        <w:t>26 (</w:t>
      </w:r>
      <w:hyperlink r:id="rId22" w:history="1">
        <w:r w:rsidRPr="00350015">
          <w:rPr>
            <w:rStyle w:val="Hyperlink"/>
            <w:rFonts w:cs="Times New Roman"/>
          </w:rPr>
          <w:t>House Journal</w:t>
        </w:r>
        <w:r w:rsidRPr="00350015">
          <w:rPr>
            <w:rStyle w:val="Hyperlink"/>
            <w:rFonts w:cs="Times New Roman"/>
          </w:rPr>
          <w:noBreakHyphen/>
          <w:t>page 24</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350015">
        <w:rPr>
          <w:rFonts w:cs="Times New Roman"/>
        </w:rPr>
        <w:t>Read third time and enrolled (</w:t>
      </w:r>
      <w:hyperlink r:id="rId23" w:history="1">
        <w:r w:rsidRPr="00350015">
          <w:rPr>
            <w:rStyle w:val="Hyperlink"/>
            <w:rFonts w:cs="Times New Roman"/>
          </w:rPr>
          <w:t>House Journal</w:t>
        </w:r>
        <w:r w:rsidRPr="00350015">
          <w:rPr>
            <w:rStyle w:val="Hyperlink"/>
            <w:rFonts w:cs="Times New Roman"/>
          </w:rPr>
          <w:noBreakHyphen/>
          <w:t>page 34</w:t>
        </w:r>
      </w:hyperlink>
      <w:r w:rsidRPr="00350015">
        <w:rPr>
          <w:rFonts w:cs="Times New Roman"/>
        </w:rPr>
        <w:t>)</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r>
      <w:r>
        <w:rPr>
          <w:rFonts w:cs="Times New Roman"/>
        </w:rPr>
        <w:tab/>
      </w:r>
      <w:r w:rsidRPr="00350015">
        <w:rPr>
          <w:rFonts w:cs="Times New Roman"/>
        </w:rPr>
        <w:t>Ratified R 7</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r>
      <w:r>
        <w:rPr>
          <w:rFonts w:cs="Times New Roman"/>
        </w:rPr>
        <w:tab/>
      </w:r>
      <w:r w:rsidRPr="00350015">
        <w:rPr>
          <w:rFonts w:cs="Times New Roman"/>
        </w:rPr>
        <w:t>Signed By Governor</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4/3/2013</w:t>
      </w:r>
      <w:r>
        <w:rPr>
          <w:rFonts w:cs="Times New Roman"/>
        </w:rPr>
        <w:tab/>
      </w:r>
      <w:r>
        <w:rPr>
          <w:rFonts w:cs="Times New Roman"/>
        </w:rPr>
        <w:tab/>
      </w:r>
      <w:r w:rsidRPr="00350015">
        <w:rPr>
          <w:rFonts w:cs="Times New Roman"/>
        </w:rPr>
        <w:t>Effective date 03/22/13</w:t>
      </w:r>
    </w:p>
    <w:p w:rsidR="00AE7D63" w:rsidRDefault="00AE7D63" w:rsidP="00AE7D63">
      <w:pPr>
        <w:widowControl w:val="0"/>
        <w:tabs>
          <w:tab w:val="right" w:pos="1008"/>
          <w:tab w:val="left" w:pos="1152"/>
          <w:tab w:val="left" w:pos="1872"/>
          <w:tab w:val="left" w:pos="9187"/>
        </w:tabs>
        <w:ind w:left="2088" w:hanging="2088"/>
        <w:rPr>
          <w:rFonts w:cs="Times New Roman"/>
        </w:rPr>
      </w:pPr>
      <w:r>
        <w:rPr>
          <w:rFonts w:cs="Times New Roman"/>
        </w:rPr>
        <w:tab/>
        <w:t>4/3/2013</w:t>
      </w:r>
      <w:r>
        <w:rPr>
          <w:rFonts w:cs="Times New Roman"/>
        </w:rPr>
        <w:tab/>
      </w:r>
      <w:r>
        <w:rPr>
          <w:rFonts w:cs="Times New Roman"/>
        </w:rPr>
        <w:tab/>
      </w:r>
      <w:r w:rsidRPr="00350015">
        <w:rPr>
          <w:rFonts w:cs="Times New Roman"/>
        </w:rPr>
        <w:t>Act No</w:t>
      </w:r>
      <w:r>
        <w:rPr>
          <w:rFonts w:cs="Times New Roman"/>
        </w:rPr>
        <w:t>. </w:t>
      </w:r>
      <w:r w:rsidRPr="00350015">
        <w:rPr>
          <w:rFonts w:cs="Times New Roman"/>
        </w:rPr>
        <w:t>5</w:t>
      </w:r>
    </w:p>
    <w:p w:rsidR="00AE7D63" w:rsidRDefault="00AE7D63" w:rsidP="00AE7D63">
      <w:pPr>
        <w:widowControl w:val="0"/>
        <w:tabs>
          <w:tab w:val="right" w:pos="1008"/>
          <w:tab w:val="left" w:pos="1152"/>
          <w:tab w:val="left" w:pos="1872"/>
          <w:tab w:val="left" w:pos="9187"/>
        </w:tabs>
        <w:ind w:left="2088" w:hanging="2088"/>
        <w:rPr>
          <w:rFonts w:cs="Times New Roman"/>
        </w:rPr>
      </w:pPr>
      <w:bookmarkStart w:id="0" w:name="_GoBack"/>
      <w:bookmarkEnd w:id="0"/>
    </w:p>
    <w:p w:rsidR="001D668D" w:rsidRPr="001D668D" w:rsidRDefault="001D668D" w:rsidP="001D668D">
      <w:pPr>
        <w:widowControl w:val="0"/>
        <w:tabs>
          <w:tab w:val="right" w:pos="1008"/>
          <w:tab w:val="left" w:pos="1152"/>
          <w:tab w:val="left" w:pos="1872"/>
          <w:tab w:val="left" w:pos="9187"/>
        </w:tabs>
        <w:ind w:left="2088" w:hanging="2088"/>
        <w:rPr>
          <w:rFonts w:cs="Times New Roman"/>
        </w:rPr>
      </w:pP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8D">
        <w:rPr>
          <w:rFonts w:cs="Times New Roman"/>
          <w:b/>
        </w:rPr>
        <w:t>VERSIONS OF THIS BILL</w:t>
      </w:r>
    </w:p>
    <w:p w:rsidR="001D668D" w:rsidRPr="001D668D" w:rsidRDefault="001D668D"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8D" w:rsidRPr="001D668D" w:rsidRDefault="00207E11" w:rsidP="001D6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1D668D" w:rsidRPr="001D668D">
          <w:rPr>
            <w:rFonts w:cs="Times New Roman"/>
            <w:color w:val="0000FF" w:themeColor="hyperlink"/>
            <w:u w:val="single"/>
          </w:rPr>
          <w:t>12/13/2012</w:t>
        </w:r>
      </w:hyperlink>
    </w:p>
    <w:p w:rsidR="001D668D" w:rsidRPr="001D668D" w:rsidRDefault="00207E11" w:rsidP="001D6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D668D" w:rsidRPr="001D668D">
          <w:rPr>
            <w:rFonts w:cs="Times New Roman"/>
            <w:color w:val="0000FF" w:themeColor="hyperlink"/>
            <w:u w:val="single"/>
          </w:rPr>
          <w:t>1/9/2013</w:t>
        </w:r>
      </w:hyperlink>
    </w:p>
    <w:p w:rsidR="001D668D" w:rsidRPr="001D668D" w:rsidRDefault="00207E11" w:rsidP="001D6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1D668D" w:rsidRPr="001D668D">
          <w:rPr>
            <w:rFonts w:cs="Times New Roman"/>
            <w:color w:val="0000FF" w:themeColor="hyperlink"/>
            <w:u w:val="single"/>
          </w:rPr>
          <w:t>2/6/2013</w:t>
        </w:r>
      </w:hyperlink>
    </w:p>
    <w:p w:rsidR="001D668D" w:rsidRPr="001D668D" w:rsidRDefault="001D668D" w:rsidP="001D6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8D" w:rsidRDefault="001D668D" w:rsidP="001D6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D668D" w:rsidSect="001D668D">
          <w:pgSz w:w="12240" w:h="15840" w:code="1"/>
          <w:pgMar w:top="1080" w:right="1440" w:bottom="1080" w:left="1440" w:header="720" w:footer="720" w:gutter="0"/>
          <w:pgNumType w:start="1"/>
          <w:cols w:space="720"/>
          <w:noEndnote/>
          <w:docGrid w:linePitch="360"/>
        </w:sectPr>
      </w:pPr>
    </w:p>
    <w:p w:rsidR="004B1F4A"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 R7, S3)</w:t>
      </w:r>
    </w:p>
    <w:p w:rsidR="004B1F4A" w:rsidRPr="008836A5"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B1F4A" w:rsidRPr="001D668D"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D668D">
        <w:rPr>
          <w:rFonts w:cs="Times New Roman"/>
          <w:b/>
          <w:color w:val="000000" w:themeColor="text1"/>
          <w:szCs w:val="36"/>
        </w:rPr>
        <w:t xml:space="preserve">AN ACT </w:t>
      </w:r>
      <w:r w:rsidRPr="001D668D">
        <w:rPr>
          <w:rFonts w:cs="Times New Roman"/>
          <w:b/>
          <w:color w:val="000000" w:themeColor="text1"/>
          <w:u w:color="000000" w:themeColor="text1"/>
        </w:rPr>
        <w:t>TO AMEND SECTION 61</w:t>
      </w:r>
      <w:r w:rsidRPr="001D668D">
        <w:rPr>
          <w:rFonts w:cs="Times New Roman"/>
          <w:b/>
          <w:color w:val="000000" w:themeColor="text1"/>
          <w:u w:color="000000" w:themeColor="text1"/>
        </w:rPr>
        <w:noBreakHyphen/>
        <w:t>2</w:t>
      </w:r>
      <w:r w:rsidRPr="001D668D">
        <w:rPr>
          <w:rFonts w:cs="Times New Roman"/>
          <w:b/>
          <w:color w:val="000000" w:themeColor="text1"/>
          <w:u w:color="000000" w:themeColor="text1"/>
        </w:rPr>
        <w:noBreakHyphen/>
        <w:t>180, CODE OF LAWS OF SOUTH CAROLINA, 1976, RELATING TO BINGO, RAFFLES, AND OTHER SPECIAL EVENTS, SO AS TO CLARIFY THAT THIS SECTION IS NOT AN EXCEPTION OR LIMITATION TO ACTIVITIES, DEVICES, OR MACHINES THAT ARE PROHIBITED BY SECTION 12</w:t>
      </w:r>
      <w:r w:rsidRPr="001D668D">
        <w:rPr>
          <w:rFonts w:cs="Times New Roman"/>
          <w:b/>
          <w:color w:val="000000" w:themeColor="text1"/>
          <w:u w:color="000000" w:themeColor="text1"/>
        </w:rPr>
        <w:noBreakHyphen/>
        <w:t>21</w:t>
      </w:r>
      <w:r w:rsidRPr="001D668D">
        <w:rPr>
          <w:rFonts w:cs="Times New Roman"/>
          <w:b/>
          <w:color w:val="000000" w:themeColor="text1"/>
          <w:u w:color="000000" w:themeColor="text1"/>
        </w:rPr>
        <w:noBreakHyphen/>
        <w:t>2710 OR OTHER PROVISIONS THAT PROHIBIT GAMBLING; AND TO AMEND SECTION 61</w:t>
      </w:r>
      <w:r w:rsidRPr="001D668D">
        <w:rPr>
          <w:rFonts w:cs="Times New Roman"/>
          <w:b/>
          <w:color w:val="000000" w:themeColor="text1"/>
          <w:u w:color="000000" w:themeColor="text1"/>
        </w:rPr>
        <w:noBreakHyphen/>
        <w:t>4</w:t>
      </w:r>
      <w:r w:rsidRPr="001D668D">
        <w:rPr>
          <w:rFonts w:cs="Times New Roman"/>
          <w:b/>
          <w:color w:val="000000" w:themeColor="text1"/>
          <w:u w:color="000000" w:themeColor="text1"/>
        </w:rPr>
        <w:noBreakHyphen/>
        <w:t>580, RELATING TO GAME PROMOTIONS ALLOWED BY HOLDERS OF PERMITS AUTHORIZING THE SALE OF BEER OR WINE, SO AS TO CLARIFY THAT THIS SECTION DOES NOT AUTHORIZE THE USE OF AN ACTIVITY, DEVICE, OR MACHINE THAT IS PROHIBITED BY SECTION 12</w:t>
      </w:r>
      <w:r w:rsidRPr="001D668D">
        <w:rPr>
          <w:rFonts w:cs="Times New Roman"/>
          <w:b/>
          <w:color w:val="000000" w:themeColor="text1"/>
          <w:u w:color="000000" w:themeColor="text1"/>
        </w:rPr>
        <w:noBreakHyphen/>
        <w:t>21</w:t>
      </w:r>
      <w:r w:rsidRPr="001D668D">
        <w:rPr>
          <w:rFonts w:cs="Times New Roman"/>
          <w:b/>
          <w:color w:val="000000" w:themeColor="text1"/>
          <w:u w:color="000000" w:themeColor="text1"/>
        </w:rPr>
        <w:noBreakHyphen/>
        <w:t>2710 OR BY OTHER PROVISIONS THAT PROHIBIT GAMBLING.</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24F18">
        <w:rPr>
          <w:rFonts w:eastAsia="Times New Roman" w:cs="Times New Roman"/>
        </w:rPr>
        <w:t>Be it enacted by the General Assembly of the State of South Carolina:</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B1F4A" w:rsidRPr="006B1F66"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 xml:space="preserve">Bingo, special events or activities not an exception </w:t>
      </w:r>
      <w:r>
        <w:rPr>
          <w:rFonts w:cs="Times New Roman"/>
          <w:b/>
          <w:snapToGrid w:val="0"/>
          <w:color w:val="000000" w:themeColor="text1"/>
          <w:u w:color="000000" w:themeColor="text1"/>
        </w:rPr>
        <w:t>to gambling and other offenses</w:t>
      </w:r>
    </w:p>
    <w:p w:rsidR="004B1F4A"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color w:val="000000" w:themeColor="text1"/>
          <w:u w:color="000000" w:themeColor="text1"/>
        </w:rPr>
        <w:t>SECTION</w:t>
      </w:r>
      <w:r w:rsidRPr="00124F18">
        <w:rPr>
          <w:rFonts w:cs="Times New Roman"/>
          <w:color w:val="000000" w:themeColor="text1"/>
          <w:u w:color="000000" w:themeColor="text1"/>
        </w:rPr>
        <w:tab/>
        <w:t>1.</w:t>
      </w:r>
      <w:r w:rsidRPr="00124F18">
        <w:rPr>
          <w:rFonts w:cs="Times New Roman"/>
          <w:color w:val="000000" w:themeColor="text1"/>
          <w:u w:color="000000" w:themeColor="text1"/>
        </w:rPr>
        <w:tab/>
      </w:r>
      <w:r w:rsidRPr="00124F18">
        <w:rPr>
          <w:rFonts w:cs="Times New Roman"/>
          <w:snapToGrid w:val="0"/>
          <w:color w:val="000000" w:themeColor="text1"/>
          <w:u w:color="000000" w:themeColor="text1"/>
        </w:rPr>
        <w:t>Section 61</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2</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180 of the 1976 Code is amended to read:</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t>“Section 61</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2</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180.</w:t>
      </w:r>
      <w:r w:rsidRPr="00124F18">
        <w:rPr>
          <w:rFonts w:cs="Times New Roman"/>
          <w:snapToGrid w:val="0"/>
          <w:color w:val="000000" w:themeColor="text1"/>
          <w:u w:color="000000" w:themeColor="text1"/>
        </w:rPr>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21</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 xml:space="preserve">2710 or other provisions of the South Carolina Code of Laws in which gambling or games of chance are unlawful and prohibited.” </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4B1F4A" w:rsidRPr="006B1F66"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000000" w:themeColor="text1"/>
          <w:u w:color="000000" w:themeColor="text1"/>
        </w:rPr>
      </w:pPr>
      <w:r>
        <w:rPr>
          <w:rFonts w:cs="Times New Roman"/>
          <w:b/>
          <w:snapToGrid w:val="0"/>
          <w:color w:val="000000" w:themeColor="text1"/>
          <w:u w:color="000000" w:themeColor="text1"/>
        </w:rPr>
        <w:t>Establishments licensed to sell beer and wine, certain promotions not an exception to gambling and other offenses</w:t>
      </w:r>
    </w:p>
    <w:p w:rsidR="004B1F4A"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SECTION</w:t>
      </w:r>
      <w:r w:rsidRPr="00124F18">
        <w:rPr>
          <w:rFonts w:cs="Times New Roman"/>
          <w:snapToGrid w:val="0"/>
          <w:color w:val="000000" w:themeColor="text1"/>
          <w:u w:color="000000" w:themeColor="text1"/>
        </w:rPr>
        <w:tab/>
        <w:t>2.</w:t>
      </w:r>
      <w:r w:rsidRPr="00124F18">
        <w:rPr>
          <w:rFonts w:cs="Times New Roman"/>
          <w:snapToGrid w:val="0"/>
          <w:color w:val="000000" w:themeColor="text1"/>
          <w:u w:color="000000" w:themeColor="text1"/>
        </w:rPr>
        <w:tab/>
        <w:t>Section 61</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4</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580 of the 1976 Code is amended to read:</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t>“Section 61</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4</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580.</w:t>
      </w:r>
      <w:r w:rsidRPr="00124F18">
        <w:rPr>
          <w:rFonts w:cs="Times New Roman"/>
          <w:snapToGrid w:val="0"/>
          <w:color w:val="000000" w:themeColor="text1"/>
          <w:u w:color="000000" w:themeColor="text1"/>
        </w:rPr>
        <w:tab/>
        <w:t>No holder of a permit authorizing the sale of beer or wine or a servant, agent, or employee of the permittee may knowingly commit any of the following acts upon the licensed premises covered by the holder</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 xml:space="preserve">s permit: </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lastRenderedPageBreak/>
        <w:tab/>
        <w:t>(1)</w:t>
      </w:r>
      <w:r w:rsidRPr="00124F18">
        <w:rPr>
          <w:rFonts w:cs="Times New Roman"/>
          <w:snapToGrid w:val="0"/>
          <w:color w:val="000000" w:themeColor="text1"/>
          <w:u w:color="000000" w:themeColor="text1"/>
        </w:rPr>
        <w:tab/>
        <w:t>sell beer or wine to a person under twenty</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 xml:space="preserve">one years of age; </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t>(2)</w:t>
      </w:r>
      <w:r w:rsidRPr="00124F18">
        <w:rPr>
          <w:rFonts w:cs="Times New Roman"/>
          <w:snapToGrid w:val="0"/>
          <w:color w:val="000000" w:themeColor="text1"/>
          <w:u w:color="000000" w:themeColor="text1"/>
        </w:rPr>
        <w:tab/>
        <w:t xml:space="preserve">sell beer or wine to an intoxicated person; </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t>(3)</w:t>
      </w:r>
      <w:r w:rsidRPr="00124F18">
        <w:rPr>
          <w:rFonts w:cs="Times New Roman"/>
          <w:snapToGrid w:val="0"/>
          <w:color w:val="000000" w:themeColor="text1"/>
          <w:u w:color="000000" w:themeColor="text1"/>
        </w:rPr>
        <w:tab/>
        <w:t xml:space="preserve">permit gambling or games of chance except game promotions including contests, games of chance, or sweepstakes in which the elements of chance and prize are present and which comply with the following: </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r>
      <w:r w:rsidRPr="00124F18">
        <w:rPr>
          <w:rFonts w:cs="Times New Roman"/>
          <w:snapToGrid w:val="0"/>
          <w:color w:val="000000" w:themeColor="text1"/>
          <w:u w:color="000000" w:themeColor="text1"/>
        </w:rPr>
        <w:tab/>
        <w:t>(a)</w:t>
      </w:r>
      <w:r w:rsidRPr="00124F18">
        <w:rPr>
          <w:rFonts w:cs="Times New Roman"/>
          <w:snapToGrid w:val="0"/>
          <w:color w:val="000000" w:themeColor="text1"/>
          <w:u w:color="000000" w:themeColor="text1"/>
        </w:rPr>
        <w:tab/>
        <w:t xml:space="preserve">the game promotion is conducted or offered in connection with the sale, promotion, or advertisement of a consumer product or service, or to enhance the brand or image of a supplier of consumer products or services; </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r>
      <w:r w:rsidRPr="00124F18">
        <w:rPr>
          <w:rFonts w:cs="Times New Roman"/>
          <w:snapToGrid w:val="0"/>
          <w:color w:val="000000" w:themeColor="text1"/>
          <w:u w:color="000000" w:themeColor="text1"/>
        </w:rPr>
        <w:tab/>
        <w:t>(b)</w:t>
      </w:r>
      <w:r w:rsidRPr="00124F18">
        <w:rPr>
          <w:rFonts w:cs="Times New Roman"/>
          <w:snapToGrid w:val="0"/>
          <w:color w:val="000000" w:themeColor="text1"/>
          <w:u w:color="000000" w:themeColor="text1"/>
        </w:rPr>
        <w:tab/>
        <w:t xml:space="preserve">no purchase payment, entry fee, or proof of purchase is required as a condition of entering the game promotion or receiving a prize;  </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r>
      <w:r w:rsidRPr="00124F18">
        <w:rPr>
          <w:rFonts w:cs="Times New Roman"/>
          <w:snapToGrid w:val="0"/>
          <w:color w:val="000000" w:themeColor="text1"/>
          <w:u w:color="000000" w:themeColor="text1"/>
        </w:rPr>
        <w:tab/>
        <w:t>(c)</w:t>
      </w:r>
      <w:r w:rsidRPr="00124F18">
        <w:rPr>
          <w:rFonts w:cs="Times New Roman"/>
          <w:snapToGrid w:val="0"/>
          <w:color w:val="000000" w:themeColor="text1"/>
          <w:u w:color="000000" w:themeColor="text1"/>
        </w:rPr>
        <w:tab/>
        <w:t>all materials advertising the game promotion clearly disclose that no purchase or payment is necessary to enter and provide details on the free method of participation; and</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r>
      <w:r w:rsidRPr="00124F18">
        <w:rPr>
          <w:rFonts w:cs="Times New Roman"/>
          <w:snapToGrid w:val="0"/>
          <w:color w:val="000000" w:themeColor="text1"/>
          <w:u w:color="000000" w:themeColor="text1"/>
        </w:rPr>
        <w:tab/>
        <w:t>(d)</w:t>
      </w:r>
      <w:r w:rsidRPr="00124F18">
        <w:rPr>
          <w:rFonts w:cs="Times New Roman"/>
          <w:snapToGrid w:val="0"/>
          <w:color w:val="000000" w:themeColor="text1"/>
          <w:u w:color="000000" w:themeColor="text1"/>
        </w:rPr>
        <w:tab/>
        <w:t>this subsection is not an exception or limitation to Section 12</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21</w:t>
      </w:r>
      <w:r>
        <w:rPr>
          <w:rFonts w:cs="Times New Roman"/>
          <w:snapToGrid w:val="0"/>
          <w:color w:val="000000" w:themeColor="text1"/>
          <w:u w:color="000000" w:themeColor="text1"/>
        </w:rPr>
        <w:noBreakHyphen/>
      </w:r>
      <w:r w:rsidRPr="00124F18">
        <w:rPr>
          <w:rFonts w:cs="Times New Roman"/>
          <w:snapToGrid w:val="0"/>
          <w:color w:val="000000" w:themeColor="text1"/>
          <w:u w:color="000000" w:themeColor="text1"/>
        </w:rPr>
        <w:t>2710 or other provisions of the South Carolina Code of Laws in which gambling or games of chance are unlawful and prohibited</w:t>
      </w:r>
      <w:r>
        <w:rPr>
          <w:rFonts w:cs="Times New Roman"/>
          <w:snapToGrid w:val="0"/>
          <w:color w:val="000000" w:themeColor="text1"/>
          <w:u w:color="000000" w:themeColor="text1"/>
        </w:rPr>
        <w:t>;</w:t>
      </w:r>
      <w:r w:rsidRPr="00124F18">
        <w:rPr>
          <w:rFonts w:cs="Times New Roman"/>
          <w:snapToGrid w:val="0"/>
          <w:color w:val="000000" w:themeColor="text1"/>
          <w:u w:color="000000" w:themeColor="text1"/>
        </w:rPr>
        <w:t xml:space="preserve"> </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t>(4)</w:t>
      </w:r>
      <w:r w:rsidRPr="00124F18">
        <w:rPr>
          <w:rFonts w:cs="Times New Roman"/>
          <w:snapToGrid w:val="0"/>
          <w:color w:val="000000" w:themeColor="text1"/>
          <w:u w:color="000000" w:themeColor="text1"/>
        </w:rPr>
        <w:tab/>
        <w:t xml:space="preserve">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 </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t>(5)</w:t>
      </w:r>
      <w:r w:rsidRPr="00124F18">
        <w:rPr>
          <w:rFonts w:cs="Times New Roman"/>
          <w:snapToGrid w:val="0"/>
          <w:color w:val="000000" w:themeColor="text1"/>
          <w:u w:color="000000" w:themeColor="text1"/>
        </w:rPr>
        <w:tab/>
        <w:t xml:space="preserve">permit any act, the commission of which tends to create a public nuisance or which constitutes a crime under the laws of this State; </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t>(6)</w:t>
      </w:r>
      <w:r w:rsidRPr="00124F18">
        <w:rPr>
          <w:rFonts w:cs="Times New Roman"/>
          <w:snapToGrid w:val="0"/>
          <w:color w:val="000000" w:themeColor="text1"/>
          <w:u w:color="000000" w:themeColor="text1"/>
        </w:rPr>
        <w:tab/>
        <w:t>sell, offer for sale, or possess any beverage or alcoholic liquors the sale or possession of which is prohibited on the licensed premises under the law of this State;</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t>(7)</w:t>
      </w:r>
      <w:r w:rsidRPr="00124F18">
        <w:rPr>
          <w:rFonts w:cs="Times New Roman"/>
          <w:snapToGrid w:val="0"/>
          <w:color w:val="000000" w:themeColor="text1"/>
          <w:u w:color="000000" w:themeColor="text1"/>
        </w:rPr>
        <w:tab/>
        <w:t xml:space="preserve">conduct, operate, organize, promote, advertise, run, or participate in a </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drinking contest</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 xml:space="preserve"> or </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drinking game</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 xml:space="preserve">.  For purposes of this item, </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drinking contest</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 xml:space="preserve"> or </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drinking game</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 xml:space="preserve"> includes, but is not limited to, a contest, game, event, or other endeavor which encourages or promotes the consumption of beer or wine by participants at extraordinary speed or in increased quantities or in more potent form.  </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Drinking contest</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 xml:space="preserve"> or </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drinking game</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w:t>
      </w:r>
      <w:r>
        <w:rPr>
          <w:rFonts w:cs="Times New Roman"/>
          <w:snapToGrid w:val="0"/>
          <w:color w:val="000000" w:themeColor="text1"/>
          <w:u w:color="000000" w:themeColor="text1"/>
        </w:rPr>
        <w:t>; or</w:t>
      </w:r>
      <w:r w:rsidRPr="00124F18">
        <w:rPr>
          <w:rFonts w:cs="Times New Roman"/>
          <w:snapToGrid w:val="0"/>
          <w:color w:val="000000" w:themeColor="text1"/>
          <w:u w:color="000000" w:themeColor="text1"/>
        </w:rPr>
        <w:t xml:space="preserve"> </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124F18">
        <w:rPr>
          <w:rFonts w:cs="Times New Roman"/>
          <w:snapToGrid w:val="0"/>
          <w:color w:val="000000" w:themeColor="text1"/>
          <w:u w:color="000000" w:themeColor="text1"/>
        </w:rPr>
        <w:tab/>
        <w:t>(8)</w:t>
      </w:r>
      <w:r w:rsidRPr="00124F18">
        <w:rPr>
          <w:rFonts w:cs="Times New Roman"/>
          <w:snapToGrid w:val="0"/>
          <w:color w:val="000000" w:themeColor="text1"/>
          <w:u w:color="000000" w:themeColor="text1"/>
        </w:rPr>
        <w:tab/>
      </w:r>
      <w:r>
        <w:rPr>
          <w:rFonts w:cs="Times New Roman"/>
          <w:snapToGrid w:val="0"/>
          <w:color w:val="000000" w:themeColor="text1"/>
          <w:u w:color="000000" w:themeColor="text1"/>
        </w:rPr>
        <w:t>a</w:t>
      </w:r>
      <w:r w:rsidRPr="00124F18">
        <w:rPr>
          <w:rFonts w:cs="Times New Roman"/>
          <w:snapToGrid w:val="0"/>
          <w:color w:val="000000" w:themeColor="text1"/>
          <w:u w:color="000000" w:themeColor="text1"/>
        </w:rPr>
        <w:t xml:space="preserve"> violation of any provision of this section is a ground for the revocation or suspension of the holder</w:t>
      </w:r>
      <w:r w:rsidRPr="006B1F66">
        <w:rPr>
          <w:rFonts w:cs="Times New Roman"/>
          <w:snapToGrid w:val="0"/>
          <w:color w:val="000000" w:themeColor="text1"/>
          <w:u w:color="000000" w:themeColor="text1"/>
        </w:rPr>
        <w:t>’</w:t>
      </w:r>
      <w:r w:rsidRPr="00124F18">
        <w:rPr>
          <w:rFonts w:cs="Times New Roman"/>
          <w:snapToGrid w:val="0"/>
          <w:color w:val="000000" w:themeColor="text1"/>
          <w:u w:color="000000" w:themeColor="text1"/>
        </w:rPr>
        <w:t>s permit.”</w:t>
      </w:r>
      <w:r w:rsidRPr="00124F18">
        <w:rPr>
          <w:rFonts w:cs="Times New Roman"/>
          <w:snapToGrid w:val="0"/>
          <w:color w:val="000000" w:themeColor="text1"/>
          <w:u w:color="000000" w:themeColor="text1"/>
        </w:rPr>
        <w:tab/>
      </w:r>
    </w:p>
    <w:p w:rsidR="004B1F4A"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F4A" w:rsidRPr="006B1F66"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F4A" w:rsidRPr="00124F18" w:rsidRDefault="004B1F4A"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4F18">
        <w:rPr>
          <w:rFonts w:cs="Times New Roman"/>
          <w:color w:val="000000" w:themeColor="text1"/>
          <w:u w:color="000000" w:themeColor="text1"/>
        </w:rPr>
        <w:t>SECTION</w:t>
      </w:r>
      <w:r w:rsidRPr="00124F18">
        <w:rPr>
          <w:rFonts w:cs="Times New Roman"/>
          <w:color w:val="000000" w:themeColor="text1"/>
          <w:u w:color="000000" w:themeColor="text1"/>
        </w:rPr>
        <w:tab/>
        <w:t>3.</w:t>
      </w:r>
      <w:r w:rsidRPr="00124F18">
        <w:rPr>
          <w:rFonts w:cs="Times New Roman"/>
          <w:color w:val="000000" w:themeColor="text1"/>
          <w:u w:color="000000" w:themeColor="text1"/>
        </w:rPr>
        <w:tab/>
        <w:t>This act takes effect upon approval by the Governor.</w:t>
      </w:r>
    </w:p>
    <w:p w:rsidR="004B1F4A" w:rsidRDefault="004B1F4A" w:rsidP="004B1F4A">
      <w:pPr>
        <w:tabs>
          <w:tab w:val="left" w:pos="1440"/>
          <w:tab w:val="left" w:pos="1800"/>
          <w:tab w:val="left" w:pos="2880"/>
        </w:tabs>
        <w:rPr>
          <w:color w:val="000000" w:themeColor="text1"/>
        </w:rPr>
      </w:pPr>
    </w:p>
    <w:p w:rsidR="004B1F4A" w:rsidRDefault="004B1F4A" w:rsidP="004B1F4A">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March, 2013.</w:t>
      </w:r>
    </w:p>
    <w:p w:rsidR="004B1F4A" w:rsidRDefault="004B1F4A" w:rsidP="004B1F4A">
      <w:pPr>
        <w:tabs>
          <w:tab w:val="left" w:pos="1440"/>
          <w:tab w:val="left" w:pos="1800"/>
          <w:tab w:val="left" w:pos="2880"/>
        </w:tabs>
        <w:rPr>
          <w:color w:val="000000" w:themeColor="text1"/>
        </w:rPr>
      </w:pPr>
    </w:p>
    <w:p w:rsidR="004B1F4A" w:rsidRDefault="004B1F4A" w:rsidP="004B1F4A">
      <w:pPr>
        <w:tabs>
          <w:tab w:val="left" w:pos="1440"/>
          <w:tab w:val="left" w:pos="1800"/>
          <w:tab w:val="left" w:pos="2880"/>
        </w:tabs>
        <w:rPr>
          <w:color w:val="000000" w:themeColor="text1"/>
        </w:rPr>
      </w:pPr>
      <w:r>
        <w:rPr>
          <w:color w:val="000000" w:themeColor="text1"/>
        </w:rPr>
        <w:t>Approved the 22</w:t>
      </w:r>
      <w:r w:rsidRPr="009A46F1">
        <w:rPr>
          <w:color w:val="000000" w:themeColor="text1"/>
          <w:vertAlign w:val="superscript"/>
        </w:rPr>
        <w:t>nd</w:t>
      </w:r>
      <w:r>
        <w:rPr>
          <w:color w:val="000000" w:themeColor="text1"/>
        </w:rPr>
        <w:t xml:space="preserve"> day of March, 2013. </w:t>
      </w:r>
    </w:p>
    <w:p w:rsidR="004B1F4A" w:rsidRDefault="004B1F4A" w:rsidP="004B1F4A">
      <w:pPr>
        <w:tabs>
          <w:tab w:val="left" w:pos="1440"/>
          <w:tab w:val="left" w:pos="1800"/>
          <w:tab w:val="left" w:pos="2880"/>
        </w:tabs>
        <w:jc w:val="center"/>
        <w:rPr>
          <w:color w:val="000000" w:themeColor="text1"/>
        </w:rPr>
      </w:pPr>
    </w:p>
    <w:p w:rsidR="004B1F4A" w:rsidRDefault="004B1F4A" w:rsidP="004B1F4A">
      <w:pPr>
        <w:tabs>
          <w:tab w:val="left" w:pos="1440"/>
          <w:tab w:val="left" w:pos="1800"/>
          <w:tab w:val="left" w:pos="2880"/>
        </w:tabs>
        <w:jc w:val="center"/>
        <w:rPr>
          <w:color w:val="000000" w:themeColor="text1"/>
        </w:rPr>
      </w:pPr>
      <w:r>
        <w:rPr>
          <w:color w:val="000000" w:themeColor="text1"/>
        </w:rPr>
        <w:t>__________</w:t>
      </w:r>
    </w:p>
    <w:p w:rsidR="008836A5" w:rsidRPr="003D0F23" w:rsidRDefault="008836A5" w:rsidP="004B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D0F23" w:rsidSect="001D668D">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BAC" w:rsidRDefault="00F25BAC" w:rsidP="007D5FAC">
      <w:r>
        <w:separator/>
      </w:r>
    </w:p>
  </w:endnote>
  <w:endnote w:type="continuationSeparator" w:id="0">
    <w:p w:rsidR="00F25BAC" w:rsidRDefault="00F25BA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68D" w:rsidRPr="001D668D" w:rsidRDefault="001D668D" w:rsidP="001D668D">
    <w:pPr>
      <w:pStyle w:val="Footer"/>
      <w:tabs>
        <w:tab w:val="clear" w:pos="4680"/>
        <w:tab w:val="clear" w:pos="9360"/>
        <w:tab w:val="center" w:pos="3168"/>
      </w:tabs>
      <w:spacing w:before="120"/>
    </w:pPr>
    <w:r>
      <w:tab/>
    </w:r>
    <w:r w:rsidR="003654E8">
      <w:fldChar w:fldCharType="begin"/>
    </w:r>
    <w:r w:rsidR="00E36B1F">
      <w:instrText xml:space="preserve"> PAGE  \* MERGEFORMAT </w:instrText>
    </w:r>
    <w:r w:rsidR="003654E8">
      <w:fldChar w:fldCharType="separate"/>
    </w:r>
    <w:r w:rsidR="00207E11">
      <w:rPr>
        <w:noProof/>
      </w:rPr>
      <w:t>3</w:t>
    </w:r>
    <w:r w:rsidR="003654E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68D" w:rsidRDefault="001D6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BAC" w:rsidRDefault="00F25BAC" w:rsidP="007D5FAC">
      <w:r>
        <w:separator/>
      </w:r>
    </w:p>
  </w:footnote>
  <w:footnote w:type="continuationSeparator" w:id="0">
    <w:p w:rsidR="00F25BAC" w:rsidRDefault="00F25BA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
    <w:docVar w:name="ActSecretary" w:val="Melton"/>
    <w:docVar w:name="ActSIdno" w:val="(109)  3HTC13"/>
    <w:docVar w:name="clipname" w:val="3HTC13"/>
    <w:docVar w:name="dvBillNumber" w:val="3"/>
    <w:docVar w:name="dvBillNumberPrefix" w:val="S"/>
    <w:docVar w:name="dvOriginalBody" w:val="Senate"/>
    <w:docVar w:name="OrigSENATEBillNo" w:val="3"/>
    <w:docVar w:name="SENATEACTFULLPATH" w:val="L:\COUNCIL\ACTS\3HTC13.DOCX"/>
    <w:docVar w:name="WhatActtype" w:val="AN ACT"/>
  </w:docVars>
  <w:rsids>
    <w:rsidRoot w:val="00100C04"/>
    <w:rsid w:val="00002DE0"/>
    <w:rsid w:val="00020349"/>
    <w:rsid w:val="00021B0B"/>
    <w:rsid w:val="0002301E"/>
    <w:rsid w:val="00030487"/>
    <w:rsid w:val="00040C05"/>
    <w:rsid w:val="0004579B"/>
    <w:rsid w:val="00051B4F"/>
    <w:rsid w:val="00055653"/>
    <w:rsid w:val="000673E4"/>
    <w:rsid w:val="0007088D"/>
    <w:rsid w:val="000731E9"/>
    <w:rsid w:val="00074565"/>
    <w:rsid w:val="00076A1A"/>
    <w:rsid w:val="00077DA3"/>
    <w:rsid w:val="00081300"/>
    <w:rsid w:val="0008438A"/>
    <w:rsid w:val="00085C37"/>
    <w:rsid w:val="00086E11"/>
    <w:rsid w:val="00092EE6"/>
    <w:rsid w:val="00096A9B"/>
    <w:rsid w:val="00096BDA"/>
    <w:rsid w:val="000A6151"/>
    <w:rsid w:val="000A6BCA"/>
    <w:rsid w:val="000A79AA"/>
    <w:rsid w:val="000B03AD"/>
    <w:rsid w:val="000B316D"/>
    <w:rsid w:val="000B36EE"/>
    <w:rsid w:val="000B56CB"/>
    <w:rsid w:val="000D356E"/>
    <w:rsid w:val="000D6F51"/>
    <w:rsid w:val="00100C04"/>
    <w:rsid w:val="001030FE"/>
    <w:rsid w:val="001031AE"/>
    <w:rsid w:val="00103295"/>
    <w:rsid w:val="00103D2E"/>
    <w:rsid w:val="00104519"/>
    <w:rsid w:val="00106968"/>
    <w:rsid w:val="00111E29"/>
    <w:rsid w:val="00114830"/>
    <w:rsid w:val="00114E88"/>
    <w:rsid w:val="001237B9"/>
    <w:rsid w:val="00125FC3"/>
    <w:rsid w:val="00131CE5"/>
    <w:rsid w:val="00135DDF"/>
    <w:rsid w:val="00136AA0"/>
    <w:rsid w:val="00141278"/>
    <w:rsid w:val="0014525A"/>
    <w:rsid w:val="001519E2"/>
    <w:rsid w:val="00161C0E"/>
    <w:rsid w:val="001626DB"/>
    <w:rsid w:val="00170F30"/>
    <w:rsid w:val="00172771"/>
    <w:rsid w:val="001747A9"/>
    <w:rsid w:val="001750EA"/>
    <w:rsid w:val="001754BB"/>
    <w:rsid w:val="001778D6"/>
    <w:rsid w:val="0018353C"/>
    <w:rsid w:val="00184AD0"/>
    <w:rsid w:val="001A646B"/>
    <w:rsid w:val="001A75A0"/>
    <w:rsid w:val="001B54DB"/>
    <w:rsid w:val="001B5A28"/>
    <w:rsid w:val="001B65B6"/>
    <w:rsid w:val="001B78F9"/>
    <w:rsid w:val="001B7FF5"/>
    <w:rsid w:val="001C390F"/>
    <w:rsid w:val="001C50A7"/>
    <w:rsid w:val="001C6957"/>
    <w:rsid w:val="001D279C"/>
    <w:rsid w:val="001D550F"/>
    <w:rsid w:val="001D5B5B"/>
    <w:rsid w:val="001D668D"/>
    <w:rsid w:val="001E0CFB"/>
    <w:rsid w:val="001E47D6"/>
    <w:rsid w:val="001F1CCC"/>
    <w:rsid w:val="001F729C"/>
    <w:rsid w:val="00200C6E"/>
    <w:rsid w:val="00204492"/>
    <w:rsid w:val="00206EF4"/>
    <w:rsid w:val="00207E11"/>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0ADE"/>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01A5"/>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36EB"/>
    <w:rsid w:val="003348FE"/>
    <w:rsid w:val="00334EAC"/>
    <w:rsid w:val="0034356D"/>
    <w:rsid w:val="00352DB3"/>
    <w:rsid w:val="00360108"/>
    <w:rsid w:val="00360D70"/>
    <w:rsid w:val="00364D3F"/>
    <w:rsid w:val="003654E8"/>
    <w:rsid w:val="00366494"/>
    <w:rsid w:val="00370DA1"/>
    <w:rsid w:val="00372564"/>
    <w:rsid w:val="00372FF8"/>
    <w:rsid w:val="003762ED"/>
    <w:rsid w:val="0038005A"/>
    <w:rsid w:val="003803CD"/>
    <w:rsid w:val="00392293"/>
    <w:rsid w:val="0039230C"/>
    <w:rsid w:val="0039655A"/>
    <w:rsid w:val="00396C58"/>
    <w:rsid w:val="003A6D96"/>
    <w:rsid w:val="003A7517"/>
    <w:rsid w:val="003B1A01"/>
    <w:rsid w:val="003B2E6E"/>
    <w:rsid w:val="003B355D"/>
    <w:rsid w:val="003B6BB7"/>
    <w:rsid w:val="003B746E"/>
    <w:rsid w:val="003C030C"/>
    <w:rsid w:val="003D0F23"/>
    <w:rsid w:val="003D2A73"/>
    <w:rsid w:val="00400828"/>
    <w:rsid w:val="00412B47"/>
    <w:rsid w:val="004132C9"/>
    <w:rsid w:val="0041434E"/>
    <w:rsid w:val="00414C2A"/>
    <w:rsid w:val="004157C4"/>
    <w:rsid w:val="004174CD"/>
    <w:rsid w:val="0041760A"/>
    <w:rsid w:val="00417A9C"/>
    <w:rsid w:val="00423310"/>
    <w:rsid w:val="00427BCB"/>
    <w:rsid w:val="00430DA3"/>
    <w:rsid w:val="00432E09"/>
    <w:rsid w:val="00435D03"/>
    <w:rsid w:val="004374A9"/>
    <w:rsid w:val="00442137"/>
    <w:rsid w:val="00445A20"/>
    <w:rsid w:val="00447C2D"/>
    <w:rsid w:val="00451B9A"/>
    <w:rsid w:val="0045270B"/>
    <w:rsid w:val="00457BEC"/>
    <w:rsid w:val="004666F5"/>
    <w:rsid w:val="00472A5B"/>
    <w:rsid w:val="00481E5B"/>
    <w:rsid w:val="00484DF4"/>
    <w:rsid w:val="00486109"/>
    <w:rsid w:val="0049067C"/>
    <w:rsid w:val="004941A4"/>
    <w:rsid w:val="00496660"/>
    <w:rsid w:val="00497784"/>
    <w:rsid w:val="004A073E"/>
    <w:rsid w:val="004A1278"/>
    <w:rsid w:val="004A5193"/>
    <w:rsid w:val="004A76F3"/>
    <w:rsid w:val="004B0874"/>
    <w:rsid w:val="004B1DA6"/>
    <w:rsid w:val="004B1F4A"/>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D26"/>
    <w:rsid w:val="005065EC"/>
    <w:rsid w:val="005208D0"/>
    <w:rsid w:val="00522B8D"/>
    <w:rsid w:val="00530D7F"/>
    <w:rsid w:val="00531A4F"/>
    <w:rsid w:val="005325C5"/>
    <w:rsid w:val="0053326B"/>
    <w:rsid w:val="005352AA"/>
    <w:rsid w:val="0053576C"/>
    <w:rsid w:val="005426A3"/>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5E65"/>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2F82"/>
    <w:rsid w:val="006236C9"/>
    <w:rsid w:val="00625487"/>
    <w:rsid w:val="00626F43"/>
    <w:rsid w:val="006358F2"/>
    <w:rsid w:val="0063724D"/>
    <w:rsid w:val="0064018A"/>
    <w:rsid w:val="00641145"/>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1F66"/>
    <w:rsid w:val="006B263A"/>
    <w:rsid w:val="006B4FA6"/>
    <w:rsid w:val="006C7535"/>
    <w:rsid w:val="006C7D00"/>
    <w:rsid w:val="006C7DDE"/>
    <w:rsid w:val="006E3FC8"/>
    <w:rsid w:val="006F22C0"/>
    <w:rsid w:val="006F290C"/>
    <w:rsid w:val="007009F2"/>
    <w:rsid w:val="00704FF9"/>
    <w:rsid w:val="007052EC"/>
    <w:rsid w:val="00707063"/>
    <w:rsid w:val="007127A6"/>
    <w:rsid w:val="007151EB"/>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0DAE"/>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6D7"/>
    <w:rsid w:val="00841A98"/>
    <w:rsid w:val="00841BFC"/>
    <w:rsid w:val="008449B6"/>
    <w:rsid w:val="008528FC"/>
    <w:rsid w:val="00855672"/>
    <w:rsid w:val="0085594F"/>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5104"/>
    <w:rsid w:val="009560AB"/>
    <w:rsid w:val="0096132D"/>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5636"/>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7D63"/>
    <w:rsid w:val="00AF08CD"/>
    <w:rsid w:val="00AF2080"/>
    <w:rsid w:val="00AF3196"/>
    <w:rsid w:val="00AF3FED"/>
    <w:rsid w:val="00AF4276"/>
    <w:rsid w:val="00AF7929"/>
    <w:rsid w:val="00AF7A83"/>
    <w:rsid w:val="00B010E0"/>
    <w:rsid w:val="00B07EC7"/>
    <w:rsid w:val="00B11270"/>
    <w:rsid w:val="00B12572"/>
    <w:rsid w:val="00B303AC"/>
    <w:rsid w:val="00B374C4"/>
    <w:rsid w:val="00B4066B"/>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4E63"/>
    <w:rsid w:val="00C30E1C"/>
    <w:rsid w:val="00C32CDA"/>
    <w:rsid w:val="00C34674"/>
    <w:rsid w:val="00C3483A"/>
    <w:rsid w:val="00C45263"/>
    <w:rsid w:val="00C4669B"/>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255C"/>
    <w:rsid w:val="00D56467"/>
    <w:rsid w:val="00D63C04"/>
    <w:rsid w:val="00D76225"/>
    <w:rsid w:val="00D7706E"/>
    <w:rsid w:val="00D80303"/>
    <w:rsid w:val="00D8576C"/>
    <w:rsid w:val="00D9130B"/>
    <w:rsid w:val="00D92268"/>
    <w:rsid w:val="00D94602"/>
    <w:rsid w:val="00D958BB"/>
    <w:rsid w:val="00D97F67"/>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3B04"/>
    <w:rsid w:val="00E3356F"/>
    <w:rsid w:val="00E33964"/>
    <w:rsid w:val="00E3462F"/>
    <w:rsid w:val="00E36231"/>
    <w:rsid w:val="00E36B1F"/>
    <w:rsid w:val="00E500F1"/>
    <w:rsid w:val="00E5358E"/>
    <w:rsid w:val="00E5665F"/>
    <w:rsid w:val="00E60357"/>
    <w:rsid w:val="00E61B4C"/>
    <w:rsid w:val="00E65ED5"/>
    <w:rsid w:val="00E71D4E"/>
    <w:rsid w:val="00E757F4"/>
    <w:rsid w:val="00E9303D"/>
    <w:rsid w:val="00EA2A3A"/>
    <w:rsid w:val="00EA77B0"/>
    <w:rsid w:val="00EB223A"/>
    <w:rsid w:val="00EC30A1"/>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5BAC"/>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005"/>
    <w:rsid w:val="00F86999"/>
    <w:rsid w:val="00F94811"/>
    <w:rsid w:val="00FA1013"/>
    <w:rsid w:val="00FA7E14"/>
    <w:rsid w:val="00FB0CA9"/>
    <w:rsid w:val="00FB1A6A"/>
    <w:rsid w:val="00FB471B"/>
    <w:rsid w:val="00FC380D"/>
    <w:rsid w:val="00FD6DC2"/>
    <w:rsid w:val="00FD7AFA"/>
    <w:rsid w:val="00FE15B8"/>
    <w:rsid w:val="00FE1D78"/>
    <w:rsid w:val="00FE6887"/>
    <w:rsid w:val="00FF0473"/>
    <w:rsid w:val="00FF422C"/>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77CF26F8-11C3-4681-BC74-0CD14A64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D66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B087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D66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52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09-13.docx" TargetMode="External"/><Relationship Id="rId13" Type="http://schemas.openxmlformats.org/officeDocument/2006/relationships/hyperlink" Target="file:///h:\HJ%20Archive\2013\01-17-13.docx" TargetMode="External"/><Relationship Id="rId18" Type="http://schemas.openxmlformats.org/officeDocument/2006/relationships/hyperlink" Target="file:///h:\HJ%20Archive\2013\02-27-13.docx" TargetMode="External"/><Relationship Id="rId26" Type="http://schemas.openxmlformats.org/officeDocument/2006/relationships/hyperlink" Target="file:///p:\pprever\2013-14\3_20130206.docx" TargetMode="External"/><Relationship Id="rId3" Type="http://schemas.openxmlformats.org/officeDocument/2006/relationships/webSettings" Target="webSettings.xml"/><Relationship Id="rId21" Type="http://schemas.openxmlformats.org/officeDocument/2006/relationships/hyperlink" Target="file:///h:\HJ%20Archive\2013\03-20-13.docx" TargetMode="External"/><Relationship Id="rId7" Type="http://schemas.openxmlformats.org/officeDocument/2006/relationships/hyperlink" Target="file:///h:\SJ%20Archive\2013\01-08-13.docx" TargetMode="External"/><Relationship Id="rId12" Type="http://schemas.openxmlformats.org/officeDocument/2006/relationships/hyperlink" Target="file:///h:\SJ%20Archive\2013\01-16-13.docx" TargetMode="External"/><Relationship Id="rId17" Type="http://schemas.openxmlformats.org/officeDocument/2006/relationships/hyperlink" Target="file:///h:\HJ%20Archive\2013\02-20-13.docx" TargetMode="External"/><Relationship Id="rId25" Type="http://schemas.openxmlformats.org/officeDocument/2006/relationships/hyperlink" Target="file:///p:\pprever\2013-14\3_20130109.docx" TargetMode="External"/><Relationship Id="rId2" Type="http://schemas.openxmlformats.org/officeDocument/2006/relationships/settings" Target="settings.xml"/><Relationship Id="rId16" Type="http://schemas.openxmlformats.org/officeDocument/2006/relationships/hyperlink" Target="file:///h:\HJ%20Archive\2013\02-19-13.docx" TargetMode="External"/><Relationship Id="rId20" Type="http://schemas.openxmlformats.org/officeDocument/2006/relationships/hyperlink" Target="file:///h:\HJ%20Archive\2013\03-06-13.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1-15-13.docx" TargetMode="External"/><Relationship Id="rId24" Type="http://schemas.openxmlformats.org/officeDocument/2006/relationships/hyperlink" Target="file:///p:\pprever\2013-14\3_20121213.docx" TargetMode="External"/><Relationship Id="rId5" Type="http://schemas.openxmlformats.org/officeDocument/2006/relationships/endnotes" Target="endnotes.xml"/><Relationship Id="rId15" Type="http://schemas.openxmlformats.org/officeDocument/2006/relationships/hyperlink" Target="file:///h:\HJ%20Archive\2013\02-06-13.docx" TargetMode="External"/><Relationship Id="rId23" Type="http://schemas.openxmlformats.org/officeDocument/2006/relationships/hyperlink" Target="file:///h:\HJ%20Archive\2013\03-21-13.docx" TargetMode="External"/><Relationship Id="rId28" Type="http://schemas.openxmlformats.org/officeDocument/2006/relationships/footer" Target="footer2.xml"/><Relationship Id="rId10" Type="http://schemas.openxmlformats.org/officeDocument/2006/relationships/hyperlink" Target="file:///h:\SJ%20Archive\2013\01-15-13.docx" TargetMode="External"/><Relationship Id="rId19" Type="http://schemas.openxmlformats.org/officeDocument/2006/relationships/hyperlink" Target="file:///h:\HJ%20Archive\2013\02-27-13.docx" TargetMode="External"/><Relationship Id="rId4" Type="http://schemas.openxmlformats.org/officeDocument/2006/relationships/footnotes" Target="footnotes.xml"/><Relationship Id="rId9" Type="http://schemas.openxmlformats.org/officeDocument/2006/relationships/hyperlink" Target="file:///h:\SJ%20Archive\2013\01-15-13.docx" TargetMode="External"/><Relationship Id="rId14" Type="http://schemas.openxmlformats.org/officeDocument/2006/relationships/hyperlink" Target="file:///h:\HJ%20Archive\2013\01-17-13.docx" TargetMode="External"/><Relationship Id="rId22" Type="http://schemas.openxmlformats.org/officeDocument/2006/relationships/hyperlink" Target="file:///h:\HJ%20Archive\2013\03-20-1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3C8BCC99.dotm</Template>
  <TotalTime>6</TotalTime>
  <Pages>5</Pages>
  <Words>1319</Words>
  <Characters>7155</Characters>
  <Application>Microsoft Office Word</Application>
  <DocSecurity>0</DocSecurity>
  <Lines>238</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 Bingo, raffles, and other special events - South Carolina Legislature Online</dc:title>
  <dc:subject/>
  <dc:creator>BrendaMelton</dc:creator>
  <cp:keywords/>
  <dc:description/>
  <cp:lastModifiedBy>N Cumfer</cp:lastModifiedBy>
  <cp:revision>8</cp:revision>
  <cp:lastPrinted>2013-03-21T15:20:00Z</cp:lastPrinted>
  <dcterms:created xsi:type="dcterms:W3CDTF">2013-06-28T13:31:00Z</dcterms:created>
  <dcterms:modified xsi:type="dcterms:W3CDTF">2014-12-04T19:34:00Z</dcterms:modified>
</cp:coreProperties>
</file>