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C15" w:rsidRPr="00DB0C15" w:rsidRDefault="00DB0C15"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B0C15">
        <w:rPr>
          <w:rFonts w:eastAsia="Times New Roman" w:cs="Times New Roman"/>
          <w:b/>
          <w:szCs w:val="20"/>
        </w:rPr>
        <w:t>South Carolina General Assembly</w:t>
      </w:r>
    </w:p>
    <w:p w:rsidR="00DB0C15" w:rsidRPr="00DB0C15" w:rsidRDefault="00DB0C15"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B0C15">
        <w:rPr>
          <w:rFonts w:eastAsia="Times New Roman" w:cs="Times New Roman"/>
          <w:szCs w:val="20"/>
        </w:rPr>
        <w:t>120th Session, 2013-2014</w:t>
      </w:r>
    </w:p>
    <w:p w:rsidR="00DB0C15" w:rsidRPr="00DB0C15" w:rsidRDefault="00DB0C15"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0C15" w:rsidRPr="00DB0C15" w:rsidRDefault="00764AF9"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A267, R291, H3021</w:t>
      </w:r>
    </w:p>
    <w:p w:rsidR="00DB0C15" w:rsidRPr="00DB0C15" w:rsidRDefault="00DB0C15"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B0C15" w:rsidRPr="00DB0C15" w:rsidRDefault="00DB0C15"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0C15">
        <w:rPr>
          <w:rFonts w:eastAsia="Times New Roman" w:cs="Times New Roman"/>
          <w:b/>
          <w:szCs w:val="20"/>
        </w:rPr>
        <w:t>STATUS INFORMATION</w:t>
      </w:r>
    </w:p>
    <w:p w:rsidR="00DB0C15" w:rsidRPr="00DB0C15" w:rsidRDefault="00DB0C15"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0C15" w:rsidRPr="00DB0C15" w:rsidRDefault="00DB0C15"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0C15">
        <w:rPr>
          <w:rFonts w:eastAsia="Times New Roman" w:cs="Times New Roman"/>
          <w:szCs w:val="20"/>
        </w:rPr>
        <w:t>General Bill</w:t>
      </w:r>
    </w:p>
    <w:p w:rsidR="00DB0C15" w:rsidRPr="00DB0C15" w:rsidRDefault="00DB0C15"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0C15">
        <w:rPr>
          <w:rFonts w:eastAsia="Times New Roman" w:cs="Times New Roman"/>
          <w:szCs w:val="20"/>
        </w:rPr>
        <w:t>Sponsors: Reps. Clemmons, Sellers, R.L. Brown, Putnam, Kennedy, Gilliard, Toole, Branham, Rutherford, King and Cobb</w:t>
      </w:r>
      <w:r w:rsidRPr="00DB0C15">
        <w:rPr>
          <w:rFonts w:eastAsia="Times New Roman" w:cs="Times New Roman"/>
          <w:szCs w:val="20"/>
        </w:rPr>
        <w:noBreakHyphen/>
        <w:t>Hunter</w:t>
      </w:r>
    </w:p>
    <w:p w:rsidR="00DB0C15" w:rsidRPr="00DB0C15" w:rsidRDefault="00DB0C15"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0C15">
        <w:rPr>
          <w:rFonts w:eastAsia="Times New Roman" w:cs="Times New Roman"/>
          <w:szCs w:val="20"/>
        </w:rPr>
        <w:t>Document Path: l:\council\bills\nl\13035dg13.docx</w:t>
      </w:r>
    </w:p>
    <w:p w:rsidR="00DB0C15" w:rsidRPr="00DB0C15" w:rsidRDefault="00DB0C15"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E14AE" w:rsidRDefault="00EE14AE"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8, 2013</w:t>
      </w:r>
    </w:p>
    <w:p w:rsidR="00EE14AE" w:rsidRDefault="00EE14AE"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31, 2013</w:t>
      </w:r>
    </w:p>
    <w:p w:rsidR="00EE14AE" w:rsidRDefault="00EE14AE"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28, 2014</w:t>
      </w:r>
    </w:p>
    <w:p w:rsidR="00EE14AE" w:rsidRDefault="00EE14AE"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3, 2014</w:t>
      </w:r>
    </w:p>
    <w:p w:rsidR="00EE14AE" w:rsidRDefault="00EE14AE"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9, 2014, Signed</w:t>
      </w:r>
    </w:p>
    <w:p w:rsidR="00EE14AE" w:rsidRDefault="00EE14AE"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0C15" w:rsidRPr="00DB0C15" w:rsidRDefault="00DB0C15"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0C15">
        <w:rPr>
          <w:rFonts w:eastAsia="Times New Roman" w:cs="Times New Roman"/>
          <w:szCs w:val="20"/>
        </w:rPr>
        <w:t>Summary: Iran Divestment Act</w:t>
      </w:r>
    </w:p>
    <w:p w:rsidR="00DB0C15" w:rsidRPr="00DB0C15" w:rsidRDefault="00DB0C15"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0C15" w:rsidRPr="00DB0C15" w:rsidRDefault="00DB0C15"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0C15" w:rsidRPr="00DB0C15" w:rsidRDefault="00DB0C15" w:rsidP="00DB0C15">
      <w:pPr>
        <w:widowControl w:val="0"/>
        <w:tabs>
          <w:tab w:val="center" w:pos="590"/>
          <w:tab w:val="center" w:pos="1440"/>
          <w:tab w:val="left" w:pos="1872"/>
          <w:tab w:val="left" w:pos="9187"/>
        </w:tabs>
        <w:rPr>
          <w:rFonts w:eastAsia="Times New Roman" w:cs="Times New Roman"/>
          <w:szCs w:val="20"/>
        </w:rPr>
      </w:pPr>
      <w:r w:rsidRPr="00DB0C15">
        <w:rPr>
          <w:rFonts w:eastAsia="Times New Roman" w:cs="Times New Roman"/>
          <w:b/>
          <w:szCs w:val="20"/>
        </w:rPr>
        <w:t>HISTORY OF LEGISLATIVE ACTIONS</w:t>
      </w:r>
    </w:p>
    <w:p w:rsidR="00DB0C15" w:rsidRPr="00DB0C15" w:rsidRDefault="00DB0C15" w:rsidP="00DB0C15">
      <w:pPr>
        <w:widowControl w:val="0"/>
        <w:tabs>
          <w:tab w:val="center" w:pos="590"/>
          <w:tab w:val="center" w:pos="1440"/>
          <w:tab w:val="left" w:pos="1872"/>
          <w:tab w:val="left" w:pos="9187"/>
        </w:tabs>
        <w:rPr>
          <w:rFonts w:eastAsia="Times New Roman" w:cs="Times New Roman"/>
          <w:szCs w:val="20"/>
        </w:rPr>
      </w:pPr>
    </w:p>
    <w:p w:rsidR="00DB0C15" w:rsidRPr="00DB0C15" w:rsidRDefault="00DB0C15" w:rsidP="00DB0C15">
      <w:pPr>
        <w:widowControl w:val="0"/>
        <w:tabs>
          <w:tab w:val="center" w:pos="590"/>
          <w:tab w:val="center" w:pos="1440"/>
          <w:tab w:val="left" w:pos="1872"/>
          <w:tab w:val="left" w:pos="9187"/>
        </w:tabs>
        <w:rPr>
          <w:rFonts w:eastAsia="Times New Roman" w:cs="Times New Roman"/>
          <w:szCs w:val="20"/>
        </w:rPr>
      </w:pPr>
      <w:r w:rsidRPr="00DB0C15">
        <w:rPr>
          <w:rFonts w:eastAsia="Times New Roman" w:cs="Times New Roman"/>
          <w:szCs w:val="20"/>
          <w:u w:val="single"/>
        </w:rPr>
        <w:tab/>
        <w:t>Date</w:t>
      </w:r>
      <w:r w:rsidRPr="00DB0C15">
        <w:rPr>
          <w:rFonts w:eastAsia="Times New Roman" w:cs="Times New Roman"/>
          <w:szCs w:val="20"/>
          <w:u w:val="single"/>
        </w:rPr>
        <w:tab/>
        <w:t>Body</w:t>
      </w:r>
      <w:r w:rsidRPr="00DB0C15">
        <w:rPr>
          <w:rFonts w:eastAsia="Times New Roman" w:cs="Times New Roman"/>
          <w:szCs w:val="20"/>
          <w:u w:val="single"/>
        </w:rPr>
        <w:tab/>
        <w:t>Action Description with journal page number</w:t>
      </w:r>
      <w:r w:rsidRPr="00DB0C15">
        <w:rPr>
          <w:rFonts w:eastAsia="Times New Roman" w:cs="Times New Roman"/>
          <w:szCs w:val="20"/>
          <w:u w:val="single"/>
        </w:rPr>
        <w:tab/>
      </w:r>
      <w:bookmarkStart w:id="0" w:name="_GoBack"/>
      <w:bookmarkEnd w:id="0"/>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DB1E50">
        <w:rPr>
          <w:rFonts w:cs="Times New Roman"/>
        </w:rPr>
        <w:t>Prefiled</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12/11/2012</w:t>
      </w:r>
      <w:r>
        <w:rPr>
          <w:rFonts w:cs="Times New Roman"/>
        </w:rPr>
        <w:tab/>
        <w:t>House</w:t>
      </w:r>
      <w:r>
        <w:rPr>
          <w:rFonts w:cs="Times New Roman"/>
        </w:rPr>
        <w:tab/>
      </w:r>
      <w:r w:rsidRPr="00DB1E50">
        <w:rPr>
          <w:rFonts w:cs="Times New Roman"/>
        </w:rPr>
        <w:t xml:space="preserve">Referred to Committee on </w:t>
      </w:r>
      <w:r w:rsidRPr="00DB1E50">
        <w:rPr>
          <w:rFonts w:cs="Times New Roman"/>
          <w:b/>
        </w:rPr>
        <w:t>Judiciary</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DB1E50">
        <w:rPr>
          <w:rFonts w:cs="Times New Roman"/>
        </w:rPr>
        <w:t>Introduced and read first time (</w:t>
      </w:r>
      <w:hyperlink r:id="rId7" w:history="1">
        <w:r w:rsidRPr="00DB1E50">
          <w:rPr>
            <w:rStyle w:val="Hyperlink"/>
            <w:rFonts w:cs="Times New Roman"/>
          </w:rPr>
          <w:t>House Journal</w:t>
        </w:r>
        <w:r w:rsidRPr="00DB1E50">
          <w:rPr>
            <w:rStyle w:val="Hyperlink"/>
            <w:rFonts w:cs="Times New Roman"/>
          </w:rPr>
          <w:noBreakHyphen/>
          <w:t>page 55</w:t>
        </w:r>
      </w:hyperlink>
      <w:r w:rsidRPr="00DB1E50">
        <w:rPr>
          <w:rFonts w:cs="Times New Roman"/>
        </w:rPr>
        <w:t>)</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1/8/2013</w:t>
      </w:r>
      <w:r>
        <w:rPr>
          <w:rFonts w:cs="Times New Roman"/>
        </w:rPr>
        <w:tab/>
        <w:t>House</w:t>
      </w:r>
      <w:r>
        <w:rPr>
          <w:rFonts w:cs="Times New Roman"/>
        </w:rPr>
        <w:tab/>
      </w:r>
      <w:r w:rsidRPr="00DB1E50">
        <w:rPr>
          <w:rFonts w:cs="Times New Roman"/>
        </w:rPr>
        <w:t>Ref</w:t>
      </w:r>
      <w:r>
        <w:rPr>
          <w:rFonts w:cs="Times New Roman"/>
        </w:rPr>
        <w:t xml:space="preserve">erred to Committee on </w:t>
      </w:r>
      <w:r w:rsidRPr="00DB1E50">
        <w:rPr>
          <w:rFonts w:cs="Times New Roman"/>
          <w:b/>
        </w:rPr>
        <w:t>Judiciary</w:t>
      </w:r>
      <w:r>
        <w:rPr>
          <w:rFonts w:cs="Times New Roman"/>
        </w:rPr>
        <w:t xml:space="preserve"> </w:t>
      </w:r>
      <w:r w:rsidRPr="00DB1E50">
        <w:rPr>
          <w:rFonts w:cs="Times New Roman"/>
        </w:rPr>
        <w:t>(</w:t>
      </w:r>
      <w:hyperlink r:id="rId8" w:history="1">
        <w:r w:rsidRPr="00DB1E50">
          <w:rPr>
            <w:rStyle w:val="Hyperlink"/>
            <w:rFonts w:cs="Times New Roman"/>
          </w:rPr>
          <w:t>House Journal</w:t>
        </w:r>
        <w:r w:rsidRPr="00DB1E50">
          <w:rPr>
            <w:rStyle w:val="Hyperlink"/>
            <w:rFonts w:cs="Times New Roman"/>
          </w:rPr>
          <w:noBreakHyphen/>
          <w:t>page 55</w:t>
        </w:r>
      </w:hyperlink>
      <w:r w:rsidRPr="00DB1E50">
        <w:rPr>
          <w:rFonts w:cs="Times New Roman"/>
        </w:rPr>
        <w:t>)</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1/9/2013</w:t>
      </w:r>
      <w:r>
        <w:rPr>
          <w:rFonts w:cs="Times New Roman"/>
        </w:rPr>
        <w:tab/>
        <w:t>House</w:t>
      </w:r>
      <w:r>
        <w:rPr>
          <w:rFonts w:cs="Times New Roman"/>
        </w:rPr>
        <w:tab/>
      </w:r>
      <w:r w:rsidRPr="00DB1E50">
        <w:rPr>
          <w:rFonts w:cs="Times New Roman"/>
        </w:rPr>
        <w:t>Member(s) request name added as sponsor: Putnam</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DB1E50">
        <w:rPr>
          <w:rFonts w:cs="Times New Roman"/>
        </w:rPr>
        <w:t>Commit</w:t>
      </w:r>
      <w:r>
        <w:rPr>
          <w:rFonts w:cs="Times New Roman"/>
        </w:rPr>
        <w:t xml:space="preserve">tee report: Favorable </w:t>
      </w:r>
      <w:r w:rsidRPr="00DB1E50">
        <w:rPr>
          <w:rFonts w:cs="Times New Roman"/>
          <w:b/>
        </w:rPr>
        <w:t>Judiciary</w:t>
      </w:r>
      <w:r>
        <w:rPr>
          <w:rFonts w:cs="Times New Roman"/>
        </w:rPr>
        <w:t xml:space="preserve"> </w:t>
      </w:r>
      <w:r w:rsidRPr="00DB1E50">
        <w:rPr>
          <w:rFonts w:cs="Times New Roman"/>
        </w:rPr>
        <w:t>(</w:t>
      </w:r>
      <w:hyperlink r:id="rId9" w:history="1">
        <w:r w:rsidRPr="00DB1E50">
          <w:rPr>
            <w:rStyle w:val="Hyperlink"/>
            <w:rFonts w:cs="Times New Roman"/>
          </w:rPr>
          <w:t>House Journal</w:t>
        </w:r>
        <w:r w:rsidRPr="00DB1E50">
          <w:rPr>
            <w:rStyle w:val="Hyperlink"/>
            <w:rFonts w:cs="Times New Roman"/>
          </w:rPr>
          <w:noBreakHyphen/>
          <w:t>page 6</w:t>
        </w:r>
      </w:hyperlink>
      <w:r w:rsidRPr="00DB1E50">
        <w:rPr>
          <w:rFonts w:cs="Times New Roman"/>
        </w:rPr>
        <w:t>)</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1/23/2013</w:t>
      </w:r>
      <w:r>
        <w:rPr>
          <w:rFonts w:cs="Times New Roman"/>
        </w:rPr>
        <w:tab/>
        <w:t>House</w:t>
      </w:r>
      <w:r>
        <w:rPr>
          <w:rFonts w:cs="Times New Roman"/>
        </w:rPr>
        <w:tab/>
      </w:r>
      <w:r w:rsidRPr="00DB1E50">
        <w:rPr>
          <w:rFonts w:cs="Times New Roman"/>
        </w:rPr>
        <w:t>Member(s) request name added as sponsor: Kennedy</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1/29/2013</w:t>
      </w:r>
      <w:r>
        <w:rPr>
          <w:rFonts w:cs="Times New Roman"/>
        </w:rPr>
        <w:tab/>
        <w:t>House</w:t>
      </w:r>
      <w:r>
        <w:rPr>
          <w:rFonts w:cs="Times New Roman"/>
        </w:rPr>
        <w:tab/>
      </w:r>
      <w:r w:rsidRPr="00DB1E50">
        <w:rPr>
          <w:rFonts w:cs="Times New Roman"/>
        </w:rPr>
        <w:t>Read second time (</w:t>
      </w:r>
      <w:hyperlink r:id="rId10" w:history="1">
        <w:r w:rsidRPr="00DB1E50">
          <w:rPr>
            <w:rStyle w:val="Hyperlink"/>
            <w:rFonts w:cs="Times New Roman"/>
          </w:rPr>
          <w:t>House Journal</w:t>
        </w:r>
        <w:r w:rsidRPr="00DB1E50">
          <w:rPr>
            <w:rStyle w:val="Hyperlink"/>
            <w:rFonts w:cs="Times New Roman"/>
          </w:rPr>
          <w:noBreakHyphen/>
          <w:t>page 20</w:t>
        </w:r>
      </w:hyperlink>
      <w:r w:rsidRPr="00DB1E50">
        <w:rPr>
          <w:rFonts w:cs="Times New Roman"/>
        </w:rPr>
        <w:t>)</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1/29/2013</w:t>
      </w:r>
      <w:r>
        <w:rPr>
          <w:rFonts w:cs="Times New Roman"/>
        </w:rPr>
        <w:tab/>
        <w:t>House</w:t>
      </w:r>
      <w:r>
        <w:rPr>
          <w:rFonts w:cs="Times New Roman"/>
        </w:rPr>
        <w:tab/>
      </w:r>
      <w:r w:rsidRPr="00DB1E50">
        <w:rPr>
          <w:rFonts w:cs="Times New Roman"/>
        </w:rPr>
        <w:t>Roll call Yeas</w:t>
      </w:r>
      <w:r>
        <w:rPr>
          <w:rFonts w:cs="Times New Roman"/>
        </w:rPr>
        <w:noBreakHyphen/>
      </w:r>
      <w:r w:rsidRPr="00DB1E50">
        <w:rPr>
          <w:rFonts w:cs="Times New Roman"/>
        </w:rPr>
        <w:t>112  Nays</w:t>
      </w:r>
      <w:r>
        <w:rPr>
          <w:rFonts w:cs="Times New Roman"/>
        </w:rPr>
        <w:noBreakHyphen/>
      </w:r>
      <w:r w:rsidRPr="00DB1E50">
        <w:rPr>
          <w:rFonts w:cs="Times New Roman"/>
        </w:rPr>
        <w:t>0 (</w:t>
      </w:r>
      <w:hyperlink r:id="rId11" w:history="1">
        <w:r w:rsidRPr="00DB1E50">
          <w:rPr>
            <w:rStyle w:val="Hyperlink"/>
            <w:rFonts w:cs="Times New Roman"/>
          </w:rPr>
          <w:t>House Journal</w:t>
        </w:r>
        <w:r w:rsidRPr="00DB1E50">
          <w:rPr>
            <w:rStyle w:val="Hyperlink"/>
            <w:rFonts w:cs="Times New Roman"/>
          </w:rPr>
          <w:noBreakHyphen/>
          <w:t>page 21</w:t>
        </w:r>
      </w:hyperlink>
      <w:r w:rsidRPr="00DB1E50">
        <w:rPr>
          <w:rFonts w:cs="Times New Roman"/>
        </w:rPr>
        <w:t>)</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1/29/2013</w:t>
      </w:r>
      <w:r>
        <w:rPr>
          <w:rFonts w:cs="Times New Roman"/>
        </w:rPr>
        <w:tab/>
        <w:t>House</w:t>
      </w:r>
      <w:r>
        <w:rPr>
          <w:rFonts w:cs="Times New Roman"/>
        </w:rPr>
        <w:tab/>
      </w:r>
      <w:r w:rsidRPr="00DB1E50">
        <w:rPr>
          <w:rFonts w:cs="Times New Roman"/>
        </w:rPr>
        <w:t xml:space="preserve">Member(s) request name added </w:t>
      </w:r>
      <w:r>
        <w:rPr>
          <w:rFonts w:cs="Times New Roman"/>
        </w:rPr>
        <w:t xml:space="preserve">as sponsor: </w:t>
      </w:r>
      <w:r w:rsidRPr="00DB1E50">
        <w:rPr>
          <w:rFonts w:cs="Times New Roman"/>
        </w:rPr>
        <w:t>Gilliard, To</w:t>
      </w:r>
      <w:r>
        <w:rPr>
          <w:rFonts w:cs="Times New Roman"/>
        </w:rPr>
        <w:t xml:space="preserve">ole, Branham, Rutherford, King, </w:t>
      </w:r>
      <w:r w:rsidRPr="00DB1E50">
        <w:rPr>
          <w:rFonts w:cs="Times New Roman"/>
        </w:rPr>
        <w:t>Cobb</w:t>
      </w:r>
      <w:r>
        <w:rPr>
          <w:rFonts w:cs="Times New Roman"/>
        </w:rPr>
        <w:noBreakHyphen/>
      </w:r>
      <w:r w:rsidRPr="00DB1E50">
        <w:rPr>
          <w:rFonts w:cs="Times New Roman"/>
        </w:rPr>
        <w:t>Hunter</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1/30/2013</w:t>
      </w:r>
      <w:r>
        <w:rPr>
          <w:rFonts w:cs="Times New Roman"/>
        </w:rPr>
        <w:tab/>
        <w:t>House</w:t>
      </w:r>
      <w:r>
        <w:rPr>
          <w:rFonts w:cs="Times New Roman"/>
        </w:rPr>
        <w:tab/>
      </w:r>
      <w:r w:rsidRPr="00DB1E50">
        <w:rPr>
          <w:rFonts w:cs="Times New Roman"/>
        </w:rPr>
        <w:t>Rea</w:t>
      </w:r>
      <w:r>
        <w:rPr>
          <w:rFonts w:cs="Times New Roman"/>
        </w:rPr>
        <w:t xml:space="preserve">d third time and sent to Senate </w:t>
      </w:r>
      <w:r w:rsidRPr="00DB1E50">
        <w:rPr>
          <w:rFonts w:cs="Times New Roman"/>
        </w:rPr>
        <w:t>(</w:t>
      </w:r>
      <w:hyperlink r:id="rId12" w:history="1">
        <w:r w:rsidRPr="00DB1E50">
          <w:rPr>
            <w:rStyle w:val="Hyperlink"/>
            <w:rFonts w:cs="Times New Roman"/>
          </w:rPr>
          <w:t>House Journal</w:t>
        </w:r>
        <w:r w:rsidRPr="00DB1E50">
          <w:rPr>
            <w:rStyle w:val="Hyperlink"/>
            <w:rFonts w:cs="Times New Roman"/>
          </w:rPr>
          <w:noBreakHyphen/>
          <w:t>page 34</w:t>
        </w:r>
      </w:hyperlink>
      <w:r w:rsidRPr="00DB1E50">
        <w:rPr>
          <w:rFonts w:cs="Times New Roman"/>
        </w:rPr>
        <w:t>)</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1/31/2013</w:t>
      </w:r>
      <w:r>
        <w:rPr>
          <w:rFonts w:cs="Times New Roman"/>
        </w:rPr>
        <w:tab/>
        <w:t>Senate</w:t>
      </w:r>
      <w:r>
        <w:rPr>
          <w:rFonts w:cs="Times New Roman"/>
        </w:rPr>
        <w:tab/>
      </w:r>
      <w:r w:rsidRPr="00DB1E50">
        <w:rPr>
          <w:rFonts w:cs="Times New Roman"/>
        </w:rPr>
        <w:t>Introduced and read first time (</w:t>
      </w:r>
      <w:hyperlink r:id="rId13" w:history="1">
        <w:r w:rsidRPr="00DB1E50">
          <w:rPr>
            <w:rStyle w:val="Hyperlink"/>
            <w:rFonts w:cs="Times New Roman"/>
          </w:rPr>
          <w:t>Senate Journal</w:t>
        </w:r>
        <w:r w:rsidRPr="00DB1E50">
          <w:rPr>
            <w:rStyle w:val="Hyperlink"/>
            <w:rFonts w:cs="Times New Roman"/>
          </w:rPr>
          <w:noBreakHyphen/>
          <w:t>page 7</w:t>
        </w:r>
      </w:hyperlink>
      <w:r w:rsidRPr="00DB1E50">
        <w:rPr>
          <w:rFonts w:cs="Times New Roman"/>
        </w:rPr>
        <w:t>)</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1/31/2013</w:t>
      </w:r>
      <w:r>
        <w:rPr>
          <w:rFonts w:cs="Times New Roman"/>
        </w:rPr>
        <w:tab/>
        <w:t>Senate</w:t>
      </w:r>
      <w:r>
        <w:rPr>
          <w:rFonts w:cs="Times New Roman"/>
        </w:rPr>
        <w:tab/>
      </w:r>
      <w:r w:rsidRPr="00DB1E50">
        <w:rPr>
          <w:rFonts w:cs="Times New Roman"/>
        </w:rPr>
        <w:t>R</w:t>
      </w:r>
      <w:r>
        <w:rPr>
          <w:rFonts w:cs="Times New Roman"/>
        </w:rPr>
        <w:t xml:space="preserve">eferred to Committee on </w:t>
      </w:r>
      <w:r w:rsidRPr="00DB1E50">
        <w:rPr>
          <w:rFonts w:cs="Times New Roman"/>
          <w:b/>
        </w:rPr>
        <w:t>Finance</w:t>
      </w:r>
      <w:r>
        <w:rPr>
          <w:rFonts w:cs="Times New Roman"/>
        </w:rPr>
        <w:t xml:space="preserve"> </w:t>
      </w:r>
      <w:r w:rsidRPr="00DB1E50">
        <w:rPr>
          <w:rFonts w:cs="Times New Roman"/>
        </w:rPr>
        <w:t>(</w:t>
      </w:r>
      <w:hyperlink r:id="rId14" w:history="1">
        <w:r w:rsidRPr="00DB1E50">
          <w:rPr>
            <w:rStyle w:val="Hyperlink"/>
            <w:rFonts w:cs="Times New Roman"/>
          </w:rPr>
          <w:t>Senate Journal</w:t>
        </w:r>
        <w:r w:rsidRPr="00DB1E50">
          <w:rPr>
            <w:rStyle w:val="Hyperlink"/>
            <w:rFonts w:cs="Times New Roman"/>
          </w:rPr>
          <w:noBreakHyphen/>
          <w:t>page 7</w:t>
        </w:r>
      </w:hyperlink>
      <w:r w:rsidRPr="00DB1E50">
        <w:rPr>
          <w:rFonts w:cs="Times New Roman"/>
        </w:rPr>
        <w:t>)</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Senate</w:t>
      </w:r>
      <w:r>
        <w:rPr>
          <w:rFonts w:cs="Times New Roman"/>
        </w:rPr>
        <w:tab/>
      </w:r>
      <w:r w:rsidRPr="00DB1E50">
        <w:rPr>
          <w:rFonts w:cs="Times New Roman"/>
        </w:rPr>
        <w:t>Committee r</w:t>
      </w:r>
      <w:r>
        <w:rPr>
          <w:rFonts w:cs="Times New Roman"/>
        </w:rPr>
        <w:t xml:space="preserve">eport: Favorable with amendment </w:t>
      </w:r>
      <w:r w:rsidRPr="00DB1E50">
        <w:rPr>
          <w:rFonts w:cs="Times New Roman"/>
          <w:b/>
        </w:rPr>
        <w:t>Finance</w:t>
      </w:r>
      <w:r w:rsidRPr="00DB1E50">
        <w:rPr>
          <w:rFonts w:cs="Times New Roman"/>
        </w:rPr>
        <w:t xml:space="preserve"> (</w:t>
      </w:r>
      <w:hyperlink r:id="rId15" w:history="1">
        <w:r w:rsidRPr="00DB1E50">
          <w:rPr>
            <w:rStyle w:val="Hyperlink"/>
            <w:rFonts w:cs="Times New Roman"/>
          </w:rPr>
          <w:t>Senate Journal</w:t>
        </w:r>
        <w:r w:rsidRPr="00DB1E50">
          <w:rPr>
            <w:rStyle w:val="Hyperlink"/>
            <w:rFonts w:cs="Times New Roman"/>
          </w:rPr>
          <w:noBreakHyphen/>
          <w:t>page 15</w:t>
        </w:r>
      </w:hyperlink>
      <w:r w:rsidRPr="00DB1E50">
        <w:rPr>
          <w:rFonts w:cs="Times New Roman"/>
        </w:rPr>
        <w:t>)</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r>
      <w:r>
        <w:rPr>
          <w:rFonts w:cs="Times New Roman"/>
        </w:rPr>
        <w:tab/>
      </w:r>
      <w:r w:rsidRPr="00DB1E50">
        <w:rPr>
          <w:rFonts w:cs="Times New Roman"/>
        </w:rPr>
        <w:t>Scrivener's error corrected</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DB1E50">
        <w:rPr>
          <w:rFonts w:cs="Times New Roman"/>
        </w:rPr>
        <w:t>Committe</w:t>
      </w:r>
      <w:r>
        <w:rPr>
          <w:rFonts w:cs="Times New Roman"/>
        </w:rPr>
        <w:t xml:space="preserve">e Amendment Amended and Adopted </w:t>
      </w:r>
      <w:r w:rsidRPr="00DB1E50">
        <w:rPr>
          <w:rFonts w:cs="Times New Roman"/>
        </w:rPr>
        <w:t>(</w:t>
      </w:r>
      <w:hyperlink r:id="rId16" w:history="1">
        <w:r w:rsidRPr="00DB1E50">
          <w:rPr>
            <w:rStyle w:val="Hyperlink"/>
            <w:rFonts w:cs="Times New Roman"/>
          </w:rPr>
          <w:t>Senate Journal</w:t>
        </w:r>
        <w:r w:rsidRPr="00DB1E50">
          <w:rPr>
            <w:rStyle w:val="Hyperlink"/>
            <w:rFonts w:cs="Times New Roman"/>
          </w:rPr>
          <w:noBreakHyphen/>
          <w:t>page 48</w:t>
        </w:r>
      </w:hyperlink>
      <w:r w:rsidRPr="00DB1E50">
        <w:rPr>
          <w:rFonts w:cs="Times New Roman"/>
        </w:rPr>
        <w:t>)</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DB1E50">
        <w:rPr>
          <w:rFonts w:cs="Times New Roman"/>
        </w:rPr>
        <w:t>Read second time (</w:t>
      </w:r>
      <w:hyperlink r:id="rId17" w:history="1">
        <w:r w:rsidRPr="00DB1E50">
          <w:rPr>
            <w:rStyle w:val="Hyperlink"/>
            <w:rFonts w:cs="Times New Roman"/>
          </w:rPr>
          <w:t>Senate Journal</w:t>
        </w:r>
        <w:r w:rsidRPr="00DB1E50">
          <w:rPr>
            <w:rStyle w:val="Hyperlink"/>
            <w:rFonts w:cs="Times New Roman"/>
          </w:rPr>
          <w:noBreakHyphen/>
          <w:t>page 48</w:t>
        </w:r>
      </w:hyperlink>
      <w:r w:rsidRPr="00DB1E50">
        <w:rPr>
          <w:rFonts w:cs="Times New Roman"/>
        </w:rPr>
        <w:t>)</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Senate</w:t>
      </w:r>
      <w:r>
        <w:rPr>
          <w:rFonts w:cs="Times New Roman"/>
        </w:rPr>
        <w:tab/>
      </w:r>
      <w:r w:rsidRPr="00DB1E50">
        <w:rPr>
          <w:rFonts w:cs="Times New Roman"/>
        </w:rPr>
        <w:t>Roll call Ayes</w:t>
      </w:r>
      <w:r>
        <w:rPr>
          <w:rFonts w:cs="Times New Roman"/>
        </w:rPr>
        <w:noBreakHyphen/>
      </w:r>
      <w:r w:rsidRPr="00DB1E50">
        <w:rPr>
          <w:rFonts w:cs="Times New Roman"/>
        </w:rPr>
        <w:t>43  Nays</w:t>
      </w:r>
      <w:r>
        <w:rPr>
          <w:rFonts w:cs="Times New Roman"/>
        </w:rPr>
        <w:noBreakHyphen/>
      </w:r>
      <w:r w:rsidRPr="00DB1E50">
        <w:rPr>
          <w:rFonts w:cs="Times New Roman"/>
        </w:rPr>
        <w:t>0 (</w:t>
      </w:r>
      <w:hyperlink r:id="rId18" w:history="1">
        <w:r w:rsidRPr="00DB1E50">
          <w:rPr>
            <w:rStyle w:val="Hyperlink"/>
            <w:rFonts w:cs="Times New Roman"/>
          </w:rPr>
          <w:t>Senate Journal</w:t>
        </w:r>
        <w:r w:rsidRPr="00DB1E50">
          <w:rPr>
            <w:rStyle w:val="Hyperlink"/>
            <w:rFonts w:cs="Times New Roman"/>
          </w:rPr>
          <w:noBreakHyphen/>
          <w:t>page 48</w:t>
        </w:r>
      </w:hyperlink>
      <w:r w:rsidRPr="00DB1E50">
        <w:rPr>
          <w:rFonts w:cs="Times New Roman"/>
        </w:rPr>
        <w:t>)</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DB1E50">
        <w:rPr>
          <w:rFonts w:cs="Times New Roman"/>
        </w:rPr>
        <w:t xml:space="preserve">Read third </w:t>
      </w:r>
      <w:r>
        <w:rPr>
          <w:rFonts w:cs="Times New Roman"/>
        </w:rPr>
        <w:t xml:space="preserve">time and returned to House with </w:t>
      </w:r>
      <w:r w:rsidRPr="00DB1E50">
        <w:rPr>
          <w:rFonts w:cs="Times New Roman"/>
        </w:rPr>
        <w:t>amendments (</w:t>
      </w:r>
      <w:hyperlink r:id="rId19" w:history="1">
        <w:r w:rsidRPr="00DB1E50">
          <w:rPr>
            <w:rStyle w:val="Hyperlink"/>
            <w:rFonts w:cs="Times New Roman"/>
          </w:rPr>
          <w:t>Senate Journal</w:t>
        </w:r>
        <w:r w:rsidRPr="00DB1E50">
          <w:rPr>
            <w:rStyle w:val="Hyperlink"/>
            <w:rFonts w:cs="Times New Roman"/>
          </w:rPr>
          <w:noBreakHyphen/>
          <w:t>page 47</w:t>
        </w:r>
      </w:hyperlink>
      <w:r w:rsidRPr="00DB1E50">
        <w:rPr>
          <w:rFonts w:cs="Times New Roman"/>
        </w:rPr>
        <w:t>)</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DB1E50">
        <w:rPr>
          <w:rFonts w:cs="Times New Roman"/>
        </w:rPr>
        <w:t>Concurred in Senate amendment and enrolle</w:t>
      </w:r>
      <w:r>
        <w:rPr>
          <w:rFonts w:cs="Times New Roman"/>
        </w:rPr>
        <w:t xml:space="preserve">d </w:t>
      </w:r>
      <w:r w:rsidRPr="00DB1E50">
        <w:rPr>
          <w:rFonts w:cs="Times New Roman"/>
        </w:rPr>
        <w:t>(</w:t>
      </w:r>
      <w:hyperlink r:id="rId20" w:history="1">
        <w:r w:rsidRPr="00DB1E50">
          <w:rPr>
            <w:rStyle w:val="Hyperlink"/>
            <w:rFonts w:cs="Times New Roman"/>
          </w:rPr>
          <w:t>House Journal</w:t>
        </w:r>
        <w:r w:rsidRPr="00DB1E50">
          <w:rPr>
            <w:rStyle w:val="Hyperlink"/>
            <w:rFonts w:cs="Times New Roman"/>
          </w:rPr>
          <w:noBreakHyphen/>
          <w:t>page 60</w:t>
        </w:r>
      </w:hyperlink>
      <w:r w:rsidRPr="00DB1E50">
        <w:rPr>
          <w:rFonts w:cs="Times New Roman"/>
        </w:rPr>
        <w:t>)</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DB1E50">
        <w:rPr>
          <w:rFonts w:cs="Times New Roman"/>
        </w:rPr>
        <w:t>Roll call Yeas</w:t>
      </w:r>
      <w:r>
        <w:rPr>
          <w:rFonts w:cs="Times New Roman"/>
        </w:rPr>
        <w:noBreakHyphen/>
      </w:r>
      <w:r w:rsidRPr="00DB1E50">
        <w:rPr>
          <w:rFonts w:cs="Times New Roman"/>
        </w:rPr>
        <w:t>97  Nays</w:t>
      </w:r>
      <w:r>
        <w:rPr>
          <w:rFonts w:cs="Times New Roman"/>
        </w:rPr>
        <w:noBreakHyphen/>
      </w:r>
      <w:r w:rsidRPr="00DB1E50">
        <w:rPr>
          <w:rFonts w:cs="Times New Roman"/>
        </w:rPr>
        <w:t>0 (</w:t>
      </w:r>
      <w:hyperlink r:id="rId21" w:history="1">
        <w:r w:rsidRPr="00DB1E50">
          <w:rPr>
            <w:rStyle w:val="Hyperlink"/>
            <w:rFonts w:cs="Times New Roman"/>
          </w:rPr>
          <w:t>House Journal</w:t>
        </w:r>
        <w:r w:rsidRPr="00DB1E50">
          <w:rPr>
            <w:rStyle w:val="Hyperlink"/>
            <w:rFonts w:cs="Times New Roman"/>
          </w:rPr>
          <w:noBreakHyphen/>
          <w:t>page 60</w:t>
        </w:r>
      </w:hyperlink>
      <w:r w:rsidRPr="00DB1E50">
        <w:rPr>
          <w:rFonts w:cs="Times New Roman"/>
        </w:rPr>
        <w:t>)</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DB1E50">
        <w:rPr>
          <w:rFonts w:cs="Times New Roman"/>
        </w:rPr>
        <w:t>Ratified R 291</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6/9/2014</w:t>
      </w:r>
      <w:r>
        <w:rPr>
          <w:rFonts w:cs="Times New Roman"/>
        </w:rPr>
        <w:tab/>
      </w:r>
      <w:r>
        <w:rPr>
          <w:rFonts w:cs="Times New Roman"/>
        </w:rPr>
        <w:tab/>
      </w:r>
      <w:r w:rsidRPr="00DB1E50">
        <w:rPr>
          <w:rFonts w:cs="Times New Roman"/>
        </w:rPr>
        <w:t>Signed By Governor</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DB1E50">
        <w:rPr>
          <w:rFonts w:cs="Times New Roman"/>
        </w:rPr>
        <w:t>Effective date See Act for Effective Date</w:t>
      </w:r>
    </w:p>
    <w:p w:rsidR="00764AF9" w:rsidRDefault="00764AF9" w:rsidP="00764AF9">
      <w:pPr>
        <w:widowControl w:val="0"/>
        <w:tabs>
          <w:tab w:val="right" w:pos="1008"/>
          <w:tab w:val="left" w:pos="1152"/>
          <w:tab w:val="left" w:pos="1872"/>
          <w:tab w:val="left" w:pos="9187"/>
        </w:tabs>
        <w:ind w:left="2088" w:hanging="2088"/>
        <w:rPr>
          <w:rFonts w:cs="Times New Roman"/>
        </w:rPr>
      </w:pPr>
      <w:r>
        <w:rPr>
          <w:rFonts w:cs="Times New Roman"/>
        </w:rPr>
        <w:tab/>
        <w:t>6/26/2014</w:t>
      </w:r>
      <w:r>
        <w:rPr>
          <w:rFonts w:cs="Times New Roman"/>
        </w:rPr>
        <w:tab/>
      </w:r>
      <w:r>
        <w:rPr>
          <w:rFonts w:cs="Times New Roman"/>
        </w:rPr>
        <w:tab/>
      </w:r>
      <w:r w:rsidRPr="00DB1E50">
        <w:rPr>
          <w:rFonts w:cs="Times New Roman"/>
        </w:rPr>
        <w:t>Act No</w:t>
      </w:r>
      <w:r>
        <w:rPr>
          <w:rFonts w:cs="Times New Roman"/>
        </w:rPr>
        <w:t>. </w:t>
      </w:r>
      <w:r w:rsidRPr="00DB1E50">
        <w:rPr>
          <w:rFonts w:cs="Times New Roman"/>
        </w:rPr>
        <w:t>267</w:t>
      </w:r>
    </w:p>
    <w:p w:rsidR="00764AF9" w:rsidRDefault="00764AF9" w:rsidP="00764AF9">
      <w:pPr>
        <w:widowControl w:val="0"/>
        <w:tabs>
          <w:tab w:val="right" w:pos="1008"/>
          <w:tab w:val="left" w:pos="1152"/>
          <w:tab w:val="left" w:pos="1872"/>
          <w:tab w:val="left" w:pos="9187"/>
        </w:tabs>
        <w:ind w:left="2088" w:hanging="2088"/>
        <w:rPr>
          <w:rFonts w:cs="Times New Roman"/>
        </w:rPr>
      </w:pPr>
    </w:p>
    <w:p w:rsidR="00DB0C15" w:rsidRPr="00DB0C15" w:rsidRDefault="00DB0C15" w:rsidP="00DB0C15">
      <w:pPr>
        <w:widowControl w:val="0"/>
        <w:tabs>
          <w:tab w:val="right" w:pos="1008"/>
          <w:tab w:val="left" w:pos="1152"/>
          <w:tab w:val="left" w:pos="1872"/>
          <w:tab w:val="left" w:pos="9187"/>
        </w:tabs>
        <w:ind w:left="2088" w:hanging="2088"/>
        <w:rPr>
          <w:rFonts w:eastAsia="Times New Roman" w:cs="Times New Roman"/>
          <w:szCs w:val="20"/>
        </w:rPr>
      </w:pPr>
    </w:p>
    <w:p w:rsidR="00DB0C15" w:rsidRPr="00DB0C15" w:rsidRDefault="00DB0C15"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B0C15">
        <w:rPr>
          <w:rFonts w:eastAsia="Times New Roman" w:cs="Times New Roman"/>
          <w:b/>
          <w:szCs w:val="20"/>
        </w:rPr>
        <w:t>VERSIONS OF THIS BILL</w:t>
      </w:r>
    </w:p>
    <w:p w:rsidR="00DB0C15" w:rsidRPr="00DB0C15" w:rsidRDefault="00DB0C15"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0C15" w:rsidRPr="00DB0C15" w:rsidRDefault="000E2B2A" w:rsidP="00DB0C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DB0C15" w:rsidRPr="00DB0C15">
          <w:rPr>
            <w:rFonts w:eastAsia="Times New Roman" w:cs="Times New Roman"/>
            <w:color w:val="0000FF" w:themeColor="hyperlink"/>
            <w:szCs w:val="20"/>
            <w:u w:val="single"/>
          </w:rPr>
          <w:t>12/11/2012</w:t>
        </w:r>
      </w:hyperlink>
    </w:p>
    <w:p w:rsidR="00DB0C15" w:rsidRPr="00DB0C15" w:rsidRDefault="000E2B2A" w:rsidP="00DB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B0C15" w:rsidRPr="00DB0C15">
          <w:rPr>
            <w:rFonts w:eastAsia="Times New Roman" w:cs="Times New Roman"/>
            <w:color w:val="0000FF" w:themeColor="hyperlink"/>
            <w:szCs w:val="20"/>
            <w:u w:val="single"/>
          </w:rPr>
          <w:t>1/23/2013</w:t>
        </w:r>
      </w:hyperlink>
    </w:p>
    <w:p w:rsidR="00DB0C15" w:rsidRPr="00DB0C15" w:rsidRDefault="000E2B2A" w:rsidP="00DB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B0C15" w:rsidRPr="00DB0C15">
          <w:rPr>
            <w:rFonts w:eastAsia="Times New Roman" w:cs="Times New Roman"/>
            <w:color w:val="0000FF" w:themeColor="hyperlink"/>
            <w:szCs w:val="20"/>
            <w:u w:val="single"/>
          </w:rPr>
          <w:t>3/19/2014</w:t>
        </w:r>
      </w:hyperlink>
    </w:p>
    <w:p w:rsidR="00DB0C15" w:rsidRPr="00DB0C15" w:rsidRDefault="000E2B2A" w:rsidP="00DB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B0C15" w:rsidRPr="00DB0C15">
          <w:rPr>
            <w:rFonts w:eastAsia="Times New Roman" w:cs="Times New Roman"/>
            <w:color w:val="0000FF" w:themeColor="hyperlink"/>
            <w:szCs w:val="20"/>
            <w:u w:val="single"/>
          </w:rPr>
          <w:t>3/20/2014</w:t>
        </w:r>
      </w:hyperlink>
    </w:p>
    <w:p w:rsidR="00DB0C15" w:rsidRPr="00DB0C15" w:rsidRDefault="000E2B2A" w:rsidP="00DB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B0C15" w:rsidRPr="00DB0C15">
          <w:rPr>
            <w:rFonts w:eastAsia="Times New Roman" w:cs="Times New Roman"/>
            <w:color w:val="0000FF" w:themeColor="hyperlink"/>
            <w:szCs w:val="20"/>
            <w:u w:val="single"/>
          </w:rPr>
          <w:t>5/28/2014</w:t>
        </w:r>
      </w:hyperlink>
    </w:p>
    <w:p w:rsidR="00DB0C15" w:rsidRPr="00DB0C15" w:rsidRDefault="00DB0C15" w:rsidP="00DB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B0C15" w:rsidRDefault="00DB0C15" w:rsidP="00DB0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B0C15" w:rsidSect="00DB0C15">
          <w:pgSz w:w="12240" w:h="15840" w:code="1"/>
          <w:pgMar w:top="1080" w:right="1440" w:bottom="1080" w:left="1440" w:header="720" w:footer="720" w:gutter="0"/>
          <w:pgNumType w:start="1"/>
          <w:cols w:space="720"/>
          <w:noEndnote/>
          <w:docGrid w:linePitch="360"/>
        </w:sectPr>
      </w:pPr>
    </w:p>
    <w:p w:rsidR="00A0749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(A267, R291, H3021)</w:t>
      </w:r>
    </w:p>
    <w:p w:rsidR="00A0749C" w:rsidRPr="008836A5"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0749C" w:rsidRPr="00DB0C15"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B0C15">
        <w:rPr>
          <w:rFonts w:cs="Times New Roman"/>
          <w:b/>
          <w:color w:val="000000" w:themeColor="text1"/>
          <w:szCs w:val="36"/>
        </w:rPr>
        <w:t xml:space="preserve">AN ACT </w:t>
      </w:r>
      <w:r w:rsidRPr="00DB0C15">
        <w:rPr>
          <w:rFonts w:cs="Times New Roman"/>
          <w:b/>
        </w:rPr>
        <w:t>TO AMEND THE CODE OF LAWS OF SOUTH CAROLINA, 1976, BY ADDING CHAPTER 57 TO TITLE 11 SO AS TO ENACT THE IRAN DIVESTMENT ACT OF 2014 AND TO PROHIBIT CERTAIN INVESTMENTS AND CONTRACTS WITH PERSONS DEEMED TO BE ENGAGING IN INVESTMENT ACTIVITIES IN IRAN.</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0749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675C">
        <w:rPr>
          <w:rFonts w:cs="Times New Roman"/>
        </w:rPr>
        <w:t>Be it enacted by the General Assembly of the State of South Carolina:</w:t>
      </w:r>
    </w:p>
    <w:p w:rsidR="00A0749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749C" w:rsidRPr="0036597F"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Iran Divestment Act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SECTION</w:t>
      </w:r>
      <w:r w:rsidRPr="00F9675C">
        <w:rPr>
          <w:rFonts w:cs="Times New Roman"/>
          <w:color w:val="000000" w:themeColor="text1"/>
          <w:u w:color="000000" w:themeColor="text1"/>
        </w:rPr>
        <w:tab/>
        <w:t>1.</w:t>
      </w:r>
      <w:r w:rsidRPr="00F9675C">
        <w:rPr>
          <w:rFonts w:cs="Times New Roman"/>
          <w:color w:val="000000" w:themeColor="text1"/>
          <w:u w:color="000000" w:themeColor="text1"/>
        </w:rPr>
        <w:tab/>
        <w:t>Title 11 of the 1976 Code is amended by adding:</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F9675C">
        <w:rPr>
          <w:rFonts w:cs="Times New Roman"/>
          <w:color w:val="000000" w:themeColor="text1"/>
          <w:u w:color="000000" w:themeColor="text1"/>
        </w:rPr>
        <w:t>“CHAPTER 5</w:t>
      </w:r>
      <w:r>
        <w:rPr>
          <w:rFonts w:cs="Times New Roman"/>
          <w:color w:val="000000" w:themeColor="text1"/>
          <w:u w:color="000000" w:themeColor="text1"/>
        </w:rPr>
        <w:t>7</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F9675C">
        <w:rPr>
          <w:rFonts w:cs="Times New Roman"/>
          <w:color w:val="000000" w:themeColor="text1"/>
          <w:u w:color="000000" w:themeColor="text1"/>
        </w:rPr>
        <w:t>Iran Divestment Act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F9675C">
        <w:rPr>
          <w:rFonts w:cs="Times New Roman"/>
          <w:color w:val="000000" w:themeColor="text1"/>
          <w:u w:color="000000" w:themeColor="text1"/>
        </w:rPr>
        <w:t>Article 1</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F9675C">
        <w:rPr>
          <w:rFonts w:cs="Times New Roman"/>
          <w:color w:val="000000" w:themeColor="text1"/>
          <w:u w:color="000000" w:themeColor="text1"/>
        </w:rPr>
        <w:t>General Provisions</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t>57</w:t>
      </w:r>
      <w:r>
        <w:rPr>
          <w:rFonts w:cs="Times New Roman"/>
          <w:color w:val="000000" w:themeColor="text1"/>
          <w:u w:color="000000" w:themeColor="text1"/>
        </w:rPr>
        <w:noBreakHyphen/>
      </w:r>
      <w:r w:rsidRPr="00F9675C">
        <w:rPr>
          <w:rFonts w:cs="Times New Roman"/>
          <w:color w:val="000000" w:themeColor="text1"/>
          <w:u w:color="000000" w:themeColor="text1"/>
        </w:rPr>
        <w:t>10.</w:t>
      </w:r>
      <w:r w:rsidRPr="00F9675C">
        <w:rPr>
          <w:rFonts w:cs="Times New Roman"/>
          <w:color w:val="000000" w:themeColor="text1"/>
          <w:u w:color="000000" w:themeColor="text1"/>
        </w:rPr>
        <w:tab/>
        <w:t xml:space="preserve">This chapter may be cited as the </w:t>
      </w:r>
      <w:r w:rsidRPr="00716D18">
        <w:rPr>
          <w:rFonts w:cs="Times New Roman"/>
          <w:color w:val="000000" w:themeColor="text1"/>
          <w:u w:color="000000" w:themeColor="text1"/>
        </w:rPr>
        <w:t>‘</w:t>
      </w:r>
      <w:r>
        <w:rPr>
          <w:rFonts w:cs="Times New Roman"/>
          <w:color w:val="000000" w:themeColor="text1"/>
          <w:u w:color="000000" w:themeColor="text1"/>
        </w:rPr>
        <w:t>Iran Divestment Act of 2014</w:t>
      </w:r>
      <w:r w:rsidRPr="00716D18">
        <w:rPr>
          <w:rFonts w:cs="Times New Roman"/>
          <w:color w:val="000000" w:themeColor="text1"/>
          <w:u w:color="000000" w:themeColor="text1"/>
        </w:rPr>
        <w:t>’</w:t>
      </w:r>
      <w:r w:rsidRPr="00F9675C">
        <w:rPr>
          <w:rFonts w:cs="Times New Roman"/>
          <w:color w:val="000000" w:themeColor="text1"/>
          <w:u w:color="000000" w:themeColor="text1"/>
        </w:rPr>
        <w: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20.</w:t>
      </w:r>
      <w:r w:rsidRPr="00F9675C">
        <w:rPr>
          <w:rFonts w:cs="Times New Roman"/>
          <w:color w:val="000000" w:themeColor="text1"/>
          <w:u w:color="000000" w:themeColor="text1"/>
        </w:rPr>
        <w:tab/>
        <w:t>The General Assembly finds that: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(1)</w:t>
      </w:r>
      <w:r w:rsidRPr="00F9675C">
        <w:rPr>
          <w:rFonts w:cs="Times New Roman"/>
          <w:color w:val="000000" w:themeColor="text1"/>
          <w:u w:color="000000" w:themeColor="text1"/>
        </w:rPr>
        <w:tab/>
        <w:t>Congress and the President have determined that the illicit nuclear activities of the Government of Iran, combined with its development of unconventional weapons and ballistic missiles, and its support of international terrorism, represent a serious threat to the security of the United States, Israel, and other United States allies in Europe, the Middle East, and around the world.</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(2)</w:t>
      </w:r>
      <w:r w:rsidRPr="00F9675C">
        <w:rPr>
          <w:rFonts w:cs="Times New Roman"/>
          <w:color w:val="000000" w:themeColor="text1"/>
          <w:u w:color="000000" w:themeColor="text1"/>
        </w:rPr>
        <w:tab/>
        <w:t>The International Atomic Energy Agency has repeatedly called attention to Iran</w:t>
      </w:r>
      <w:r w:rsidRPr="00716D18">
        <w:rPr>
          <w:rFonts w:cs="Times New Roman"/>
          <w:color w:val="000000" w:themeColor="text1"/>
          <w:u w:color="000000" w:themeColor="text1"/>
        </w:rPr>
        <w:t>’</w:t>
      </w:r>
      <w:r w:rsidRPr="00F9675C">
        <w:rPr>
          <w:rFonts w:cs="Times New Roman"/>
          <w:color w:val="000000" w:themeColor="text1"/>
          <w:u w:color="000000" w:themeColor="text1"/>
        </w:rPr>
        <w:t xml:space="preserve">s unlawful nuclear activities, and, as a result, the United Nations Security Council has adopted a range of sanctions designed to encourage the </w:t>
      </w:r>
      <w:r>
        <w:rPr>
          <w:rFonts w:cs="Times New Roman"/>
          <w:color w:val="000000" w:themeColor="text1"/>
          <w:u w:color="000000" w:themeColor="text1"/>
        </w:rPr>
        <w:t>Government</w:t>
      </w:r>
      <w:r w:rsidRPr="00F9675C">
        <w:rPr>
          <w:rFonts w:cs="Times New Roman"/>
          <w:color w:val="000000" w:themeColor="text1"/>
          <w:u w:color="000000" w:themeColor="text1"/>
        </w:rPr>
        <w:t xml:space="preserve"> of Iran to cease those activities and comply with its obligations under the Treaty on the Non</w:t>
      </w:r>
      <w:r>
        <w:rPr>
          <w:rFonts w:cs="Times New Roman"/>
          <w:color w:val="000000" w:themeColor="text1"/>
          <w:u w:color="000000" w:themeColor="text1"/>
        </w:rPr>
        <w:noBreakHyphen/>
      </w:r>
      <w:r w:rsidRPr="00F9675C">
        <w:rPr>
          <w:rFonts w:cs="Times New Roman"/>
          <w:color w:val="000000" w:themeColor="text1"/>
          <w:u w:color="000000" w:themeColor="text1"/>
        </w:rPr>
        <w:t>Proliferation of Nuclear Weapons.</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(3)</w:t>
      </w:r>
      <w:r w:rsidRPr="00F9675C">
        <w:rPr>
          <w:rFonts w:cs="Times New Roman"/>
          <w:color w:val="000000" w:themeColor="text1"/>
          <w:u w:color="000000" w:themeColor="text1"/>
        </w:rPr>
        <w:tab/>
        <w:t xml:space="preserve">On July 1, 2010, President Barack Obama signed into law H.R. 2194, the </w:t>
      </w:r>
      <w:r w:rsidRPr="00716D18">
        <w:rPr>
          <w:rFonts w:cs="Times New Roman"/>
          <w:color w:val="000000" w:themeColor="text1"/>
          <w:u w:color="000000" w:themeColor="text1"/>
        </w:rPr>
        <w:t>‘</w:t>
      </w:r>
      <w:r w:rsidRPr="00F9675C">
        <w:rPr>
          <w:rFonts w:cs="Times New Roman"/>
          <w:color w:val="000000" w:themeColor="text1"/>
          <w:u w:color="000000" w:themeColor="text1"/>
        </w:rPr>
        <w:t>Comprehensive Iran Sanctions, Accountability, and Divestment Act of 2010</w:t>
      </w:r>
      <w:r w:rsidRPr="00716D18">
        <w:rPr>
          <w:rFonts w:cs="Times New Roman"/>
          <w:color w:val="000000" w:themeColor="text1"/>
          <w:u w:color="000000" w:themeColor="text1"/>
        </w:rPr>
        <w:t>’</w:t>
      </w:r>
      <w:r w:rsidRPr="00F9675C">
        <w:rPr>
          <w:rFonts w:cs="Times New Roman"/>
          <w:color w:val="000000" w:themeColor="text1"/>
          <w:u w:color="000000" w:themeColor="text1"/>
        </w:rPr>
        <w:t xml:space="preserve"> (Public Law 111</w:t>
      </w:r>
      <w:r>
        <w:rPr>
          <w:rFonts w:cs="Times New Roman"/>
          <w:color w:val="000000" w:themeColor="text1"/>
          <w:u w:color="000000" w:themeColor="text1"/>
        </w:rPr>
        <w:noBreakHyphen/>
      </w:r>
      <w:r w:rsidRPr="00F9675C">
        <w:rPr>
          <w:rFonts w:cs="Times New Roman"/>
          <w:color w:val="000000" w:themeColor="text1"/>
          <w:u w:color="000000" w:themeColor="text1"/>
        </w:rPr>
        <w:t xml:space="preserve">195), which expressly authorizes states and local governments to prevent investment in, </w:t>
      </w:r>
      <w:r w:rsidRPr="00F9675C">
        <w:rPr>
          <w:rFonts w:cs="Times New Roman"/>
          <w:color w:val="000000" w:themeColor="text1"/>
          <w:u w:color="000000" w:themeColor="text1"/>
        </w:rPr>
        <w:lastRenderedPageBreak/>
        <w:t>including prohibiting entry into or renewing contracts with, companies operating in Iran</w:t>
      </w:r>
      <w:r w:rsidRPr="00716D18">
        <w:rPr>
          <w:rFonts w:cs="Times New Roman"/>
          <w:color w:val="000000" w:themeColor="text1"/>
          <w:u w:color="000000" w:themeColor="text1"/>
        </w:rPr>
        <w:t>’</w:t>
      </w:r>
      <w:r w:rsidRPr="00F9675C">
        <w:rPr>
          <w:rFonts w:cs="Times New Roman"/>
          <w:color w:val="000000" w:themeColor="text1"/>
          <w:u w:color="000000" w:themeColor="text1"/>
        </w:rPr>
        <w:t xml:space="preserve">s energy sector with investments that have the result of directly or indirectly supporting the efforts of the </w:t>
      </w:r>
      <w:r>
        <w:rPr>
          <w:rFonts w:cs="Times New Roman"/>
          <w:color w:val="000000" w:themeColor="text1"/>
          <w:u w:color="000000" w:themeColor="text1"/>
        </w:rPr>
        <w:t>Government</w:t>
      </w:r>
      <w:r w:rsidRPr="00F9675C">
        <w:rPr>
          <w:rFonts w:cs="Times New Roman"/>
          <w:color w:val="000000" w:themeColor="text1"/>
          <w:u w:color="000000" w:themeColor="text1"/>
        </w:rPr>
        <w:t xml:space="preserve"> of Iran to achieve nuclear weapons capability.</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(4)</w:t>
      </w:r>
      <w:r w:rsidRPr="00F9675C">
        <w:rPr>
          <w:rFonts w:cs="Times New Roman"/>
          <w:color w:val="000000" w:themeColor="text1"/>
          <w:u w:color="000000" w:themeColor="text1"/>
        </w:rPr>
        <w:tab/>
        <w:t>The serious and urgent nature of the threat from Iran demands that states, local governments, and private institutions work together with the federal government and American allies to do everything possible diplomatically, politically, and economically to prevent Iran from acquiring a nuclear weapons capability.</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(5)</w:t>
      </w:r>
      <w:r w:rsidRPr="00F9675C">
        <w:rPr>
          <w:rFonts w:cs="Times New Roman"/>
          <w:color w:val="000000" w:themeColor="text1"/>
          <w:u w:color="000000" w:themeColor="text1"/>
        </w:rPr>
        <w:tab/>
        <w:t>Respect for human rights in Iran has steadily deteriorated as demonstrated by transparently fraudulent elections and the brutal repression and murder, arbitrary arrests, and show trials of peaceful dissidents.</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(6)</w:t>
      </w:r>
      <w:r w:rsidRPr="00F9675C">
        <w:rPr>
          <w:rFonts w:cs="Times New Roman"/>
          <w:color w:val="000000" w:themeColor="text1"/>
          <w:u w:color="000000" w:themeColor="text1"/>
        </w:rPr>
        <w:tab/>
        <w:t xml:space="preserve">The concerns of the State of South Carolina regarding Iran are strictly the result of the actions of the </w:t>
      </w:r>
      <w:r>
        <w:rPr>
          <w:rFonts w:cs="Times New Roman"/>
          <w:color w:val="000000" w:themeColor="text1"/>
          <w:u w:color="000000" w:themeColor="text1"/>
        </w:rPr>
        <w:t>Government</w:t>
      </w:r>
      <w:r w:rsidRPr="00F9675C">
        <w:rPr>
          <w:rFonts w:cs="Times New Roman"/>
          <w:color w:val="000000" w:themeColor="text1"/>
          <w:u w:color="000000" w:themeColor="text1"/>
        </w:rPr>
        <w:t xml:space="preserve"> of Iran and should not be construed as enmity towards the Iranian people.</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(7)</w:t>
      </w:r>
      <w:r w:rsidRPr="00F9675C">
        <w:rPr>
          <w:rFonts w:cs="Times New Roman"/>
          <w:color w:val="000000" w:themeColor="text1"/>
          <w:u w:color="000000" w:themeColor="text1"/>
        </w:rPr>
        <w:tab/>
        <w:t>In order to effectively address the need for this State to respond to the policies of Iran in a uniform fashion, prohibiting contracts with persons engaged in investment activities in the energy sector of Iran must be accomplished on a statewide basis.</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(8)</w:t>
      </w:r>
      <w:r w:rsidRPr="00F9675C">
        <w:rPr>
          <w:rFonts w:cs="Times New Roman"/>
          <w:color w:val="000000" w:themeColor="text1"/>
          <w:u w:color="000000" w:themeColor="text1"/>
        </w:rPr>
        <w:tab/>
        <w:t>It is the intent of the General Assembly to fully implement the authority granted under Section 202 of the Comprehensive Iran Sanctions, Accountability, and Divestment Act of 2010 (Public Law 111</w:t>
      </w:r>
      <w:r>
        <w:rPr>
          <w:rFonts w:cs="Times New Roman"/>
          <w:color w:val="000000" w:themeColor="text1"/>
          <w:u w:color="000000" w:themeColor="text1"/>
        </w:rPr>
        <w:noBreakHyphen/>
      </w:r>
      <w:r w:rsidRPr="00F9675C">
        <w:rPr>
          <w:rFonts w:cs="Times New Roman"/>
          <w:color w:val="000000" w:themeColor="text1"/>
          <w:u w:color="000000" w:themeColor="text1"/>
        </w:rPr>
        <w:t>195).</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30.</w:t>
      </w:r>
      <w:r w:rsidRPr="00F9675C">
        <w:rPr>
          <w:rFonts w:cs="Times New Roman"/>
          <w:color w:val="000000" w:themeColor="text1"/>
          <w:u w:color="000000" w:themeColor="text1"/>
        </w:rPr>
        <w:tab/>
        <w:t>As used in this chapter:</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(1)</w:t>
      </w:r>
      <w:r w:rsidRPr="00F9675C">
        <w:rPr>
          <w:rFonts w:cs="Times New Roman"/>
          <w:color w:val="000000" w:themeColor="text1"/>
          <w:u w:color="000000" w:themeColor="text1"/>
        </w:rPr>
        <w:tab/>
      </w:r>
      <w:r w:rsidRPr="00716D18">
        <w:rPr>
          <w:rFonts w:cs="Times New Roman"/>
          <w:color w:val="000000" w:themeColor="text1"/>
          <w:u w:color="000000" w:themeColor="text1"/>
        </w:rPr>
        <w:t>‘</w:t>
      </w:r>
      <w:r w:rsidRPr="00F9675C">
        <w:rPr>
          <w:rFonts w:cs="Times New Roman"/>
          <w:color w:val="000000" w:themeColor="text1"/>
          <w:u w:color="000000" w:themeColor="text1"/>
        </w:rPr>
        <w:t>Energy sector of Iran</w:t>
      </w:r>
      <w:r>
        <w:rPr>
          <w:rFonts w:cs="Times New Roman"/>
          <w:color w:val="000000" w:themeColor="text1"/>
          <w:u w:color="000000" w:themeColor="text1"/>
        </w:rPr>
        <w:t>’</w:t>
      </w:r>
      <w:r w:rsidRPr="00F9675C">
        <w:rPr>
          <w:rFonts w:cs="Times New Roman"/>
          <w:color w:val="000000" w:themeColor="text1"/>
          <w:u w:color="000000" w:themeColor="text1"/>
        </w:rPr>
        <w:t xml:space="preserve"> means activities to develop petroleum or natural gas resources or nuclear power in Iran.</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(2)</w:t>
      </w:r>
      <w:r w:rsidRPr="00F9675C">
        <w:rPr>
          <w:rFonts w:cs="Times New Roman"/>
          <w:color w:val="000000" w:themeColor="text1"/>
          <w:u w:color="000000" w:themeColor="text1"/>
        </w:rPr>
        <w:tab/>
      </w:r>
      <w:r w:rsidRPr="00716D18">
        <w:rPr>
          <w:rFonts w:cs="Times New Roman"/>
          <w:color w:val="000000" w:themeColor="text1"/>
          <w:u w:color="000000" w:themeColor="text1"/>
        </w:rPr>
        <w:t>‘</w:t>
      </w:r>
      <w:r w:rsidRPr="00F9675C">
        <w:rPr>
          <w:rFonts w:cs="Times New Roman"/>
          <w:color w:val="000000" w:themeColor="text1"/>
          <w:u w:color="000000" w:themeColor="text1"/>
        </w:rPr>
        <w:t>Financial institution</w:t>
      </w:r>
      <w:r w:rsidRPr="00716D18">
        <w:rPr>
          <w:rFonts w:cs="Times New Roman"/>
          <w:color w:val="000000" w:themeColor="text1"/>
          <w:u w:color="000000" w:themeColor="text1"/>
        </w:rPr>
        <w:t>’</w:t>
      </w:r>
      <w:r w:rsidRPr="00F9675C">
        <w:rPr>
          <w:rFonts w:cs="Times New Roman"/>
          <w:color w:val="000000" w:themeColor="text1"/>
          <w:u w:color="000000" w:themeColor="text1"/>
        </w:rPr>
        <w:t xml:space="preserve"> means the term as used in Section 14 of the Iran Sanctions Act of 1996 (Public Law 104</w:t>
      </w:r>
      <w:r>
        <w:rPr>
          <w:rFonts w:cs="Times New Roman"/>
          <w:color w:val="000000" w:themeColor="text1"/>
          <w:u w:color="000000" w:themeColor="text1"/>
        </w:rPr>
        <w:noBreakHyphen/>
      </w:r>
      <w:r w:rsidRPr="00F9675C">
        <w:rPr>
          <w:rFonts w:cs="Times New Roman"/>
          <w:color w:val="000000" w:themeColor="text1"/>
          <w:u w:color="000000" w:themeColor="text1"/>
        </w:rPr>
        <w:t>172; 50 U.S.C. 1701 note).</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(3)</w:t>
      </w:r>
      <w:r>
        <w:rPr>
          <w:rFonts w:cs="Times New Roman"/>
          <w:color w:val="000000" w:themeColor="text1"/>
          <w:u w:color="000000" w:themeColor="text1"/>
        </w:rPr>
        <w:tab/>
      </w:r>
      <w:r w:rsidRPr="00716D18">
        <w:rPr>
          <w:rFonts w:cs="Times New Roman"/>
          <w:color w:val="000000" w:themeColor="text1"/>
          <w:u w:color="000000" w:themeColor="text1"/>
        </w:rPr>
        <w:t>‘</w:t>
      </w:r>
      <w:r w:rsidRPr="00F9675C">
        <w:rPr>
          <w:rFonts w:cs="Times New Roman"/>
          <w:color w:val="000000" w:themeColor="text1"/>
          <w:u w:color="000000" w:themeColor="text1"/>
        </w:rPr>
        <w:t>Investment</w:t>
      </w:r>
      <w:r w:rsidRPr="00716D18">
        <w:rPr>
          <w:rFonts w:cs="Times New Roman"/>
          <w:color w:val="000000" w:themeColor="text1"/>
          <w:u w:color="000000" w:themeColor="text1"/>
        </w:rPr>
        <w:t>’</w:t>
      </w:r>
      <w:r w:rsidRPr="00F9675C">
        <w:rPr>
          <w:rFonts w:cs="Times New Roman"/>
          <w:color w:val="000000" w:themeColor="text1"/>
          <w:u w:color="000000" w:themeColor="text1"/>
        </w:rPr>
        <w:t xml:space="preserve"> means a commitment or contribution of funds or property, whatever the source, a loan or other extension of credit, and the entry into or renewal of a contract for goods or services.  It does not include indirect beneficial ownership through index funds, commingled funds, limited partnerships, derivative instruments, or the like.</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(4)</w:t>
      </w:r>
      <w:r w:rsidRPr="00F9675C">
        <w:rPr>
          <w:rFonts w:cs="Times New Roman"/>
          <w:color w:val="000000" w:themeColor="text1"/>
          <w:u w:color="000000" w:themeColor="text1"/>
        </w:rPr>
        <w:tab/>
      </w:r>
      <w:r w:rsidRPr="00716D18">
        <w:rPr>
          <w:rFonts w:cs="Times New Roman"/>
          <w:color w:val="000000" w:themeColor="text1"/>
          <w:u w:color="000000" w:themeColor="text1"/>
        </w:rPr>
        <w:t>‘</w:t>
      </w:r>
      <w:r w:rsidRPr="00F9675C">
        <w:rPr>
          <w:rFonts w:cs="Times New Roman"/>
          <w:color w:val="000000" w:themeColor="text1"/>
          <w:u w:color="000000" w:themeColor="text1"/>
        </w:rPr>
        <w:t>Iran</w:t>
      </w:r>
      <w:r w:rsidRPr="00716D18">
        <w:rPr>
          <w:rFonts w:cs="Times New Roman"/>
          <w:color w:val="000000" w:themeColor="text1"/>
          <w:u w:color="000000" w:themeColor="text1"/>
        </w:rPr>
        <w:t>’</w:t>
      </w:r>
      <w:r w:rsidRPr="00F9675C">
        <w:rPr>
          <w:rFonts w:cs="Times New Roman"/>
          <w:color w:val="000000" w:themeColor="text1"/>
          <w:u w:color="000000" w:themeColor="text1"/>
        </w:rPr>
        <w:t xml:space="preserve"> includes the </w:t>
      </w:r>
      <w:r>
        <w:rPr>
          <w:rFonts w:cs="Times New Roman"/>
          <w:color w:val="000000" w:themeColor="text1"/>
          <w:u w:color="000000" w:themeColor="text1"/>
        </w:rPr>
        <w:t>Government</w:t>
      </w:r>
      <w:r w:rsidRPr="00F9675C">
        <w:rPr>
          <w:rFonts w:cs="Times New Roman"/>
          <w:color w:val="000000" w:themeColor="text1"/>
          <w:u w:color="000000" w:themeColor="text1"/>
        </w:rPr>
        <w:t xml:space="preserve"> of Iran and any agency or instrumentality of Iran.</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(5)</w:t>
      </w:r>
      <w:r w:rsidRPr="00F9675C">
        <w:rPr>
          <w:rFonts w:cs="Times New Roman"/>
          <w:color w:val="000000" w:themeColor="text1"/>
          <w:u w:color="000000" w:themeColor="text1"/>
        </w:rPr>
        <w:tab/>
      </w:r>
      <w:r w:rsidRPr="00716D18">
        <w:rPr>
          <w:rFonts w:cs="Times New Roman"/>
          <w:color w:val="000000" w:themeColor="text1"/>
          <w:u w:color="000000" w:themeColor="text1"/>
        </w:rPr>
        <w:t>‘</w:t>
      </w:r>
      <w:r w:rsidRPr="00F9675C">
        <w:rPr>
          <w:rFonts w:cs="Times New Roman"/>
          <w:color w:val="000000" w:themeColor="text1"/>
          <w:u w:color="000000" w:themeColor="text1"/>
        </w:rPr>
        <w:t>Person</w:t>
      </w:r>
      <w:r w:rsidRPr="00716D18">
        <w:rPr>
          <w:rFonts w:cs="Times New Roman"/>
          <w:color w:val="000000" w:themeColor="text1"/>
          <w:u w:color="000000" w:themeColor="text1"/>
        </w:rPr>
        <w:t>’</w:t>
      </w:r>
      <w:r w:rsidRPr="00F9675C">
        <w:rPr>
          <w:rFonts w:cs="Times New Roman"/>
          <w:color w:val="000000" w:themeColor="text1"/>
          <w:u w:color="000000" w:themeColor="text1"/>
        </w:rPr>
        <w:t xml:space="preserve"> means any of the following:</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r>
      <w:r w:rsidRPr="00F9675C">
        <w:rPr>
          <w:rFonts w:cs="Times New Roman"/>
          <w:color w:val="000000" w:themeColor="text1"/>
          <w:u w:color="000000" w:themeColor="text1"/>
        </w:rPr>
        <w:tab/>
        <w:t>(a)</w:t>
      </w:r>
      <w:r w:rsidRPr="00F9675C">
        <w:rPr>
          <w:rFonts w:cs="Times New Roman"/>
          <w:color w:val="000000" w:themeColor="text1"/>
          <w:u w:color="000000" w:themeColor="text1"/>
        </w:rPr>
        <w:tab/>
        <w:t>a natural person, corporation, company, limited liability company, business association, partnership, society, trust, or any other nongovernmental entity, organization, or group;</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r>
      <w:r w:rsidRPr="00F9675C">
        <w:rPr>
          <w:rFonts w:cs="Times New Roman"/>
          <w:color w:val="000000" w:themeColor="text1"/>
          <w:u w:color="000000" w:themeColor="text1"/>
        </w:rPr>
        <w:tab/>
        <w:t>(b)</w:t>
      </w:r>
      <w:r w:rsidRPr="00F9675C">
        <w:rPr>
          <w:rFonts w:cs="Times New Roman"/>
          <w:color w:val="000000" w:themeColor="text1"/>
          <w:u w:color="000000" w:themeColor="text1"/>
        </w:rPr>
        <w:tab/>
        <w:t>any governmental entity or instrumentality of a government, including a multilateral development institution, as defined in Section 1701(c)(3) of the International Financial Institutions Act (22 U.S.C. 262r(c)(3));</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r>
      <w:r w:rsidRPr="00F9675C">
        <w:rPr>
          <w:rFonts w:cs="Times New Roman"/>
          <w:color w:val="000000" w:themeColor="text1"/>
          <w:u w:color="000000" w:themeColor="text1"/>
        </w:rPr>
        <w:tab/>
        <w:t>(c)</w:t>
      </w:r>
      <w:r w:rsidRPr="00F9675C">
        <w:rPr>
          <w:rFonts w:cs="Times New Roman"/>
          <w:color w:val="000000" w:themeColor="text1"/>
          <w:u w:color="000000" w:themeColor="text1"/>
        </w:rPr>
        <w:tab/>
        <w:t xml:space="preserve">any successor, subunit, parent entity, or subsidiary of, or any entity under common ownership or control with, any entity described in </w:t>
      </w:r>
      <w:r>
        <w:rPr>
          <w:rFonts w:cs="Times New Roman"/>
          <w:color w:val="000000" w:themeColor="text1"/>
          <w:u w:color="000000" w:themeColor="text1"/>
        </w:rPr>
        <w:t>subitems (a) and (b) of this item</w:t>
      </w:r>
      <w:r w:rsidRPr="00F9675C">
        <w:rPr>
          <w:rFonts w:cs="Times New Roman"/>
          <w:color w:val="000000" w:themeColor="text1"/>
          <w:u w:color="000000" w:themeColor="text1"/>
        </w:rPr>
        <w: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(6)</w:t>
      </w:r>
      <w:r w:rsidRPr="00F9675C">
        <w:rPr>
          <w:rFonts w:cs="Times New Roman"/>
          <w:color w:val="000000" w:themeColor="text1"/>
          <w:u w:color="000000" w:themeColor="text1"/>
        </w:rPr>
        <w:tab/>
      </w:r>
      <w:r w:rsidRPr="00716D18">
        <w:rPr>
          <w:rFonts w:cs="Times New Roman"/>
          <w:color w:val="000000" w:themeColor="text1"/>
          <w:u w:color="000000" w:themeColor="text1"/>
        </w:rPr>
        <w:t>‘</w:t>
      </w:r>
      <w:r w:rsidRPr="00F9675C">
        <w:rPr>
          <w:rFonts w:cs="Times New Roman"/>
          <w:color w:val="000000" w:themeColor="text1"/>
          <w:u w:color="000000" w:themeColor="text1"/>
        </w:rPr>
        <w:t>State agency</w:t>
      </w:r>
      <w:r w:rsidRPr="00716D18">
        <w:rPr>
          <w:rFonts w:cs="Times New Roman"/>
          <w:color w:val="000000" w:themeColor="text1"/>
          <w:u w:color="000000" w:themeColor="text1"/>
        </w:rPr>
        <w:t>’</w:t>
      </w:r>
      <w:r w:rsidRPr="00F9675C">
        <w:rPr>
          <w:rFonts w:cs="Times New Roman"/>
          <w:color w:val="000000" w:themeColor="text1"/>
          <w:u w:color="000000" w:themeColor="text1"/>
        </w:rPr>
        <w:t xml:space="preserve"> means each state board, commission, department, executive department or officer, institution, and instrumentality.</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40.</w:t>
      </w:r>
      <w:r w:rsidRPr="00F9675C">
        <w:rPr>
          <w:rFonts w:cs="Times New Roman"/>
          <w:color w:val="000000" w:themeColor="text1"/>
          <w:u w:color="000000" w:themeColor="text1"/>
        </w:rPr>
        <w:tab/>
        <w:t>This chapter does not apply to a procurement or contract valued at one thousand dollars or less.</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F9675C">
        <w:rPr>
          <w:rFonts w:cs="Times New Roman"/>
          <w:color w:val="000000" w:themeColor="text1"/>
          <w:u w:color="000000" w:themeColor="text1"/>
        </w:rPr>
        <w:t>Article 3</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F9675C">
        <w:rPr>
          <w:rFonts w:cs="Times New Roman"/>
          <w:color w:val="000000" w:themeColor="text1"/>
          <w:u w:color="000000" w:themeColor="text1"/>
        </w:rPr>
        <w:t>State Divestment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300.</w:t>
      </w:r>
      <w:r w:rsidRPr="00F9675C">
        <w:rPr>
          <w:rFonts w:cs="Times New Roman"/>
          <w:color w:val="000000" w:themeColor="text1"/>
          <w:u w:color="000000" w:themeColor="text1"/>
        </w:rPr>
        <w:tab/>
        <w:t>For purposes of this chapter, a person engages in investment activities in Iran if:</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(1)</w:t>
      </w:r>
      <w:r w:rsidRPr="00F9675C">
        <w:rPr>
          <w:rFonts w:cs="Times New Roman"/>
          <w:color w:val="000000" w:themeColor="text1"/>
          <w:u w:color="000000" w:themeColor="text1"/>
        </w:rPr>
        <w:tab/>
        <w:t>the person provides goods or services of twenty million dollars or more in the energy sector of Iran, including a person that provides oil or liquefied natural gas tankers, or products used to construct or maintain pipelines used to transport oil or liquefied natural gas, for the energy sector of Iran; or</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(2)</w:t>
      </w:r>
      <w:r w:rsidRPr="00F9675C">
        <w:rPr>
          <w:rFonts w:cs="Times New Roman"/>
          <w:color w:val="000000" w:themeColor="text1"/>
          <w:u w:color="000000" w:themeColor="text1"/>
        </w:rPr>
        <w:tab/>
        <w:t>the person is a financial institution that extends twenty million dollars or more in credit to another person, for forty</w:t>
      </w:r>
      <w:r>
        <w:rPr>
          <w:rFonts w:cs="Times New Roman"/>
          <w:color w:val="000000" w:themeColor="text1"/>
          <w:u w:color="000000" w:themeColor="text1"/>
        </w:rPr>
        <w:noBreakHyphen/>
      </w:r>
      <w:r w:rsidRPr="00F9675C">
        <w:rPr>
          <w:rFonts w:cs="Times New Roman"/>
          <w:color w:val="000000" w:themeColor="text1"/>
          <w:u w:color="000000" w:themeColor="text1"/>
        </w:rPr>
        <w:t>five days or more, if that person will use the credit to provide goods or services in the energy sector in Iran and is identified on a list, created pursuant to 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 xml:space="preserve">310, as a person engaging in investment activities in Iran as described in </w:t>
      </w:r>
      <w:r>
        <w:rPr>
          <w:rFonts w:cs="Times New Roman"/>
          <w:color w:val="000000" w:themeColor="text1"/>
          <w:u w:color="000000" w:themeColor="text1"/>
        </w:rPr>
        <w:t>this section</w:t>
      </w:r>
      <w:r w:rsidRPr="00F9675C">
        <w:rPr>
          <w:rFonts w:cs="Times New Roman"/>
          <w:color w:val="000000" w:themeColor="text1"/>
          <w:u w:color="000000" w:themeColor="text1"/>
        </w:rPr>
        <w: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310.</w:t>
      </w:r>
      <w:r w:rsidRPr="00F9675C">
        <w:rPr>
          <w:rFonts w:cs="Times New Roman"/>
          <w:color w:val="000000" w:themeColor="text1"/>
          <w:u w:color="000000" w:themeColor="text1"/>
        </w:rPr>
        <w:tab/>
        <w:t>(A)(1)</w:t>
      </w:r>
      <w:r w:rsidRPr="00F9675C">
        <w:rPr>
          <w:rFonts w:cs="Times New Roman"/>
          <w:color w:val="000000" w:themeColor="text1"/>
          <w:u w:color="000000" w:themeColor="text1"/>
        </w:rPr>
        <w:tab/>
        <w:t>No more than one hundred twenty days after the e</w:t>
      </w:r>
      <w:r>
        <w:rPr>
          <w:rFonts w:cs="Times New Roman"/>
          <w:color w:val="000000" w:themeColor="text1"/>
          <w:u w:color="000000" w:themeColor="text1"/>
        </w:rPr>
        <w:t>ffective date of this act, the E</w:t>
      </w:r>
      <w:r w:rsidRPr="00F9675C">
        <w:rPr>
          <w:rFonts w:cs="Times New Roman"/>
          <w:color w:val="000000" w:themeColor="text1"/>
          <w:u w:color="000000" w:themeColor="text1"/>
        </w:rPr>
        <w:t xml:space="preserve">xecutive </w:t>
      </w:r>
      <w:r>
        <w:rPr>
          <w:rFonts w:cs="Times New Roman"/>
          <w:color w:val="000000" w:themeColor="text1"/>
          <w:u w:color="000000" w:themeColor="text1"/>
        </w:rPr>
        <w:t>D</w:t>
      </w:r>
      <w:r w:rsidRPr="00F9675C">
        <w:rPr>
          <w:rFonts w:cs="Times New Roman"/>
          <w:color w:val="000000" w:themeColor="text1"/>
          <w:u w:color="000000" w:themeColor="text1"/>
        </w:rPr>
        <w:t xml:space="preserve">irector of the </w:t>
      </w:r>
      <w:r>
        <w:rPr>
          <w:rFonts w:cs="Times New Roman"/>
          <w:color w:val="000000" w:themeColor="text1"/>
          <w:u w:color="000000" w:themeColor="text1"/>
        </w:rPr>
        <w:t xml:space="preserve">State </w:t>
      </w:r>
      <w:r w:rsidRPr="00F9675C">
        <w:rPr>
          <w:rFonts w:cs="Times New Roman"/>
          <w:color w:val="000000" w:themeColor="text1"/>
          <w:u w:color="000000" w:themeColor="text1"/>
        </w:rPr>
        <w:t>Budget and Control Board shall develop or contract to develop, using credible information available to the public, a list of persons it determines engage in investment activities in Iran as described in 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 xml:space="preserve">310. If the executive director has contracted to develop the list, the list shall be finally developed no more than one hundred twenty days after the effective date of this act.  The list, when completed, shall be posted on the website of the </w:t>
      </w:r>
      <w:r>
        <w:rPr>
          <w:rFonts w:cs="Times New Roman"/>
          <w:color w:val="000000" w:themeColor="text1"/>
          <w:u w:color="000000" w:themeColor="text1"/>
        </w:rPr>
        <w:t xml:space="preserve">State </w:t>
      </w:r>
      <w:r w:rsidRPr="00F9675C">
        <w:rPr>
          <w:rFonts w:cs="Times New Roman"/>
          <w:color w:val="000000" w:themeColor="text1"/>
          <w:u w:color="000000" w:themeColor="text1"/>
        </w:rPr>
        <w:t>Budget and Control Board.</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r>
      <w:r w:rsidRPr="00F9675C">
        <w:rPr>
          <w:rFonts w:cs="Times New Roman"/>
          <w:color w:val="000000" w:themeColor="text1"/>
          <w:u w:color="000000" w:themeColor="text1"/>
        </w:rPr>
        <w:tab/>
        <w:t>(2)</w:t>
      </w:r>
      <w:r w:rsidRPr="00F9675C">
        <w:rPr>
          <w:rFonts w:cs="Times New Roman"/>
          <w:color w:val="000000" w:themeColor="text1"/>
          <w:u w:color="000000" w:themeColor="text1"/>
        </w:rPr>
        <w:tab/>
        <w:t>The executive director shall update the list every one hundred eighty days.</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r>
      <w:r w:rsidRPr="00F9675C">
        <w:rPr>
          <w:rFonts w:cs="Times New Roman"/>
          <w:color w:val="000000" w:themeColor="text1"/>
          <w:u w:color="000000" w:themeColor="text1"/>
        </w:rPr>
        <w:tab/>
        <w:t>(3)</w:t>
      </w:r>
      <w:r w:rsidRPr="00F9675C">
        <w:rPr>
          <w:rFonts w:cs="Times New Roman"/>
          <w:color w:val="000000" w:themeColor="text1"/>
          <w:u w:color="000000" w:themeColor="text1"/>
        </w:rPr>
        <w:tab/>
        <w:t>Before finalizing an initial list or an updated list, the executive director must do all of the following before a person is included on the list: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r>
      <w:r w:rsidRPr="00F9675C">
        <w:rPr>
          <w:rFonts w:cs="Times New Roman"/>
          <w:color w:val="000000" w:themeColor="text1"/>
          <w:u w:color="000000" w:themeColor="text1"/>
        </w:rPr>
        <w:tab/>
      </w:r>
      <w:r w:rsidRPr="00F9675C">
        <w:rPr>
          <w:rFonts w:cs="Times New Roman"/>
          <w:color w:val="000000" w:themeColor="text1"/>
          <w:u w:color="000000" w:themeColor="text1"/>
        </w:rPr>
        <w:tab/>
        <w:t>(a)</w:t>
      </w:r>
      <w:r w:rsidRPr="00F9675C">
        <w:rPr>
          <w:rFonts w:cs="Times New Roman"/>
          <w:color w:val="000000" w:themeColor="text1"/>
          <w:u w:color="000000" w:themeColor="text1"/>
        </w:rPr>
        <w:tab/>
        <w:t>Provide ninety days</w:t>
      </w:r>
      <w:r w:rsidRPr="00716D18">
        <w:rPr>
          <w:rFonts w:cs="Times New Roman"/>
          <w:color w:val="000000" w:themeColor="text1"/>
          <w:u w:color="000000" w:themeColor="text1"/>
        </w:rPr>
        <w:t>’</w:t>
      </w:r>
      <w:r w:rsidRPr="00F9675C">
        <w:rPr>
          <w:rFonts w:cs="Times New Roman"/>
          <w:color w:val="000000" w:themeColor="text1"/>
          <w:u w:color="000000" w:themeColor="text1"/>
        </w:rPr>
        <w:t xml:space="preserve"> written notice of the executive director</w:t>
      </w:r>
      <w:r w:rsidRPr="00716D18">
        <w:rPr>
          <w:rFonts w:cs="Times New Roman"/>
          <w:color w:val="000000" w:themeColor="text1"/>
          <w:u w:color="000000" w:themeColor="text1"/>
        </w:rPr>
        <w:t>’</w:t>
      </w:r>
      <w:r w:rsidRPr="00F9675C">
        <w:rPr>
          <w:rFonts w:cs="Times New Roman"/>
          <w:color w:val="000000" w:themeColor="text1"/>
          <w:u w:color="000000" w:themeColor="text1"/>
        </w:rPr>
        <w:t>s intent to include the person on the list. The notice shall inform the person that inclusion on the list would make the person ineligible to contract with the State. The notice shall specify that the person, if it ceases its engagement in investment activities in Iran, may be removed from the list.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r>
      <w:r w:rsidRPr="00F9675C">
        <w:rPr>
          <w:rFonts w:cs="Times New Roman"/>
          <w:color w:val="000000" w:themeColor="text1"/>
          <w:u w:color="000000" w:themeColor="text1"/>
        </w:rPr>
        <w:tab/>
      </w:r>
      <w:r w:rsidRPr="00F9675C">
        <w:rPr>
          <w:rFonts w:cs="Times New Roman"/>
          <w:color w:val="000000" w:themeColor="text1"/>
          <w:u w:color="000000" w:themeColor="text1"/>
        </w:rPr>
        <w:tab/>
        <w:t>(b)</w:t>
      </w:r>
      <w:r w:rsidRPr="00F9675C">
        <w:rPr>
          <w:rFonts w:cs="Times New Roman"/>
          <w:color w:val="000000" w:themeColor="text1"/>
          <w:u w:color="000000" w:themeColor="text1"/>
        </w:rPr>
        <w:tab/>
        <w:t>The executive director shall provide a person with an opportunity to comment in writing that it is not engaged in investment activities in Iran. If the person demonstrates to the executive director that the person is not engaged in investment activities in Iran, the person shall not be included on the list.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r>
      <w:r w:rsidRPr="00F9675C">
        <w:rPr>
          <w:rFonts w:cs="Times New Roman"/>
          <w:color w:val="000000" w:themeColor="text1"/>
          <w:u w:color="000000" w:themeColor="text1"/>
        </w:rPr>
        <w:tab/>
        <w:t>(4)</w:t>
      </w:r>
      <w:r w:rsidRPr="00F9675C">
        <w:rPr>
          <w:rFonts w:cs="Times New Roman"/>
          <w:color w:val="000000" w:themeColor="text1"/>
          <w:u w:color="000000" w:themeColor="text1"/>
        </w:rPr>
        <w:tab/>
        <w:t>The executive director shall make every effort to avoid erroneously including a person on the list.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(B)</w:t>
      </w:r>
      <w:r w:rsidRPr="00F9675C">
        <w:rPr>
          <w:rFonts w:cs="Times New Roman"/>
          <w:color w:val="000000" w:themeColor="text1"/>
          <w:u w:color="000000" w:themeColor="text1"/>
        </w:rPr>
        <w:tab/>
        <w:t>A person that is identified on a list created pursuant to subsection (A) as a person engaging in investment activities in Iran as described in 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300, is ineligible to contract with the State.</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(C)</w:t>
      </w:r>
      <w:r w:rsidRPr="00F9675C">
        <w:rPr>
          <w:rFonts w:cs="Times New Roman"/>
          <w:color w:val="000000" w:themeColor="text1"/>
          <w:u w:color="000000" w:themeColor="text1"/>
        </w:rPr>
        <w:tab/>
        <w:t>Any contract entered into with a person that is ineligible to contract with the State shall be void ab initio.</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320.</w:t>
      </w:r>
      <w:r w:rsidRPr="00F9675C">
        <w:rPr>
          <w:rFonts w:cs="Times New Roman"/>
          <w:color w:val="000000" w:themeColor="text1"/>
          <w:u w:color="000000" w:themeColor="text1"/>
        </w:rPr>
        <w:tab/>
        <w:t>Notwithstanding 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310, a person engaged in investment activities in Iran as described in Section 11</w:t>
      </w:r>
      <w:r>
        <w:rPr>
          <w:rFonts w:cs="Times New Roman"/>
          <w:color w:val="000000" w:themeColor="text1"/>
          <w:u w:color="000000" w:themeColor="text1"/>
        </w:rPr>
        <w:noBreakHyphen/>
        <w:t>57</w:t>
      </w:r>
      <w:r>
        <w:rPr>
          <w:rFonts w:cs="Times New Roman"/>
          <w:color w:val="000000" w:themeColor="text1"/>
          <w:u w:color="000000" w:themeColor="text1"/>
        </w:rPr>
        <w:noBreakHyphen/>
      </w:r>
      <w:r w:rsidRPr="00F9675C">
        <w:rPr>
          <w:rFonts w:cs="Times New Roman"/>
          <w:color w:val="000000" w:themeColor="text1"/>
          <w:u w:color="000000" w:themeColor="text1"/>
        </w:rPr>
        <w:t>300, may contract with the State, on a case</w:t>
      </w:r>
      <w:r>
        <w:rPr>
          <w:rFonts w:cs="Times New Roman"/>
          <w:color w:val="000000" w:themeColor="text1"/>
          <w:u w:color="000000" w:themeColor="text1"/>
        </w:rPr>
        <w:noBreakHyphen/>
      </w:r>
      <w:r w:rsidRPr="00F9675C">
        <w:rPr>
          <w:rFonts w:cs="Times New Roman"/>
          <w:color w:val="000000" w:themeColor="text1"/>
          <w:u w:color="000000" w:themeColor="text1"/>
        </w:rPr>
        <w:t>by</w:t>
      </w:r>
      <w:r>
        <w:rPr>
          <w:rFonts w:cs="Times New Roman"/>
          <w:color w:val="000000" w:themeColor="text1"/>
          <w:u w:color="000000" w:themeColor="text1"/>
        </w:rPr>
        <w:noBreakHyphen/>
      </w:r>
      <w:r w:rsidRPr="00F9675C">
        <w:rPr>
          <w:rFonts w:cs="Times New Roman"/>
          <w:color w:val="000000" w:themeColor="text1"/>
          <w:u w:color="000000" w:themeColor="text1"/>
        </w:rPr>
        <w:t>case basis, if:</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(1)</w:t>
      </w:r>
      <w:r w:rsidRPr="00F9675C">
        <w:rPr>
          <w:rFonts w:cs="Times New Roman"/>
          <w:color w:val="000000" w:themeColor="text1"/>
          <w:u w:color="000000" w:themeColor="text1"/>
        </w:rPr>
        <w:tab/>
        <w:t>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(2)</w:t>
      </w:r>
      <w:r w:rsidRPr="00F9675C">
        <w:rPr>
          <w:rFonts w:cs="Times New Roman"/>
          <w:color w:val="000000" w:themeColor="text1"/>
          <w:u w:color="000000" w:themeColor="text1"/>
        </w:rPr>
        <w:tab/>
        <w:t>the state agency makes a determination that the commodities or services are necessary to perform its functions and that, absent such an exemption, the state agency would be unable to obtain the commodities or services for which the contract is offered. Such determination shall be entered into the procurement record.</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t>57</w:t>
      </w:r>
      <w:r>
        <w:rPr>
          <w:rFonts w:cs="Times New Roman"/>
          <w:color w:val="000000" w:themeColor="text1"/>
          <w:u w:color="000000" w:themeColor="text1"/>
        </w:rPr>
        <w:noBreakHyphen/>
      </w:r>
      <w:r w:rsidRPr="00F9675C">
        <w:rPr>
          <w:rFonts w:cs="Times New Roman"/>
          <w:color w:val="000000" w:themeColor="text1"/>
          <w:u w:color="000000" w:themeColor="text1"/>
        </w:rPr>
        <w:t>330.</w:t>
      </w:r>
      <w:r w:rsidRPr="00F9675C">
        <w:rPr>
          <w:rFonts w:cs="Times New Roman"/>
          <w:color w:val="000000" w:themeColor="text1"/>
          <w:u w:color="000000" w:themeColor="text1"/>
        </w:rPr>
        <w:tab/>
        <w:t>(A)</w:t>
      </w:r>
      <w:r w:rsidRPr="00F9675C">
        <w:rPr>
          <w:rFonts w:cs="Times New Roman"/>
          <w:color w:val="000000" w:themeColor="text1"/>
          <w:u w:color="000000" w:themeColor="text1"/>
        </w:rPr>
        <w:tab/>
        <w:t>A state agency or entity shall require a person that attempts to contract with the State, including a contract renewal or assumption, to certify, at the time the bid is submitted or the contract is entered into, renewed, or assigned, that the person or the assignee is not identified on a list created pursuant to 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310.  A state agency shall include certification information in the procurement record.</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(B)</w:t>
      </w:r>
      <w:r w:rsidRPr="00F9675C">
        <w:rPr>
          <w:rFonts w:cs="Times New Roman"/>
          <w:color w:val="000000" w:themeColor="text1"/>
          <w:u w:color="000000" w:themeColor="text1"/>
        </w:rPr>
        <w:tab/>
        <w:t>A person that contracts with the State, including a contract renewal or assumption, shall not utilize, on the contract with the state agency or entity, any subcontractor that is identified on a list created pursuant to 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310.</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(C)</w:t>
      </w:r>
      <w:r w:rsidRPr="00F9675C">
        <w:rPr>
          <w:rFonts w:cs="Times New Roman"/>
          <w:color w:val="000000" w:themeColor="text1"/>
          <w:u w:color="000000" w:themeColor="text1"/>
        </w:rPr>
        <w:tab/>
        <w:t>Upon receiving information that a person who has made the certification required by subsection (A) is in violation thereof, the state agency or entity shall review such information and offer the person an opportunity to respond.  If the person fails to demonstrate that it has ceased its engagement in the investment which is in violation of this act within ninety days after the determination of such violation, then the state agency or entity shall take such action as may be appropriate and provided for by law, rule, or contract, including, but not limited to, imposing sanctions, seeking compliance, recovering damages, or declaring the contractor in default.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t>57</w:t>
      </w:r>
      <w:r>
        <w:rPr>
          <w:rFonts w:cs="Times New Roman"/>
          <w:color w:val="000000" w:themeColor="text1"/>
          <w:u w:color="000000" w:themeColor="text1"/>
        </w:rPr>
        <w:noBreakHyphen/>
      </w:r>
      <w:r w:rsidRPr="00F9675C">
        <w:rPr>
          <w:rFonts w:cs="Times New Roman"/>
          <w:color w:val="000000" w:themeColor="text1"/>
          <w:u w:color="000000" w:themeColor="text1"/>
        </w:rPr>
        <w:t>340.</w:t>
      </w:r>
      <w:r w:rsidRPr="00F9675C">
        <w:rPr>
          <w:rFonts w:cs="Times New Roman"/>
          <w:color w:val="000000" w:themeColor="text1"/>
          <w:u w:color="000000" w:themeColor="text1"/>
        </w:rPr>
        <w:tab/>
        <w:t xml:space="preserve">The executive director shall report to the President Pro Tempore of the Senate, the Speaker of the House of Representatives, and the Governor annually by October first, on the status of the federal </w:t>
      </w:r>
      <w:r w:rsidRPr="00716D18">
        <w:rPr>
          <w:rFonts w:cs="Times New Roman"/>
          <w:color w:val="000000" w:themeColor="text1"/>
          <w:u w:color="000000" w:themeColor="text1"/>
        </w:rPr>
        <w:t>‘</w:t>
      </w:r>
      <w:r w:rsidRPr="00F9675C">
        <w:rPr>
          <w:rFonts w:cs="Times New Roman"/>
          <w:color w:val="000000" w:themeColor="text1"/>
          <w:u w:color="000000" w:themeColor="text1"/>
        </w:rPr>
        <w:t>Comprehensive Iran Sanctions, Accountability, and Divestment Act of 2010</w:t>
      </w:r>
      <w:r w:rsidRPr="00716D18">
        <w:rPr>
          <w:rFonts w:cs="Times New Roman"/>
          <w:color w:val="000000" w:themeColor="text1"/>
          <w:u w:color="000000" w:themeColor="text1"/>
        </w:rPr>
        <w:t>’</w:t>
      </w:r>
      <w:r w:rsidRPr="00F9675C">
        <w:rPr>
          <w:rFonts w:cs="Times New Roman"/>
          <w:color w:val="000000" w:themeColor="text1"/>
          <w:u w:color="000000" w:themeColor="text1"/>
        </w:rPr>
        <w:t xml:space="preserve"> (Public Law 111</w:t>
      </w:r>
      <w:r>
        <w:rPr>
          <w:rFonts w:cs="Times New Roman"/>
          <w:color w:val="000000" w:themeColor="text1"/>
          <w:u w:color="000000" w:themeColor="text1"/>
        </w:rPr>
        <w:noBreakHyphen/>
      </w:r>
      <w:r w:rsidRPr="00F9675C">
        <w:rPr>
          <w:rFonts w:cs="Times New Roman"/>
          <w:color w:val="000000" w:themeColor="text1"/>
          <w:u w:color="000000" w:themeColor="text1"/>
        </w:rPr>
        <w:t xml:space="preserve">195), the </w:t>
      </w:r>
      <w:r w:rsidRPr="00716D18">
        <w:rPr>
          <w:rFonts w:cs="Times New Roman"/>
          <w:color w:val="000000" w:themeColor="text1"/>
          <w:u w:color="000000" w:themeColor="text1"/>
        </w:rPr>
        <w:t>‘</w:t>
      </w:r>
      <w:r>
        <w:rPr>
          <w:rFonts w:cs="Times New Roman"/>
          <w:color w:val="000000" w:themeColor="text1"/>
          <w:u w:color="000000" w:themeColor="text1"/>
        </w:rPr>
        <w:t>Iran Divestment Act of 2014</w:t>
      </w:r>
      <w:r w:rsidRPr="00716D18">
        <w:rPr>
          <w:rFonts w:cs="Times New Roman"/>
          <w:color w:val="000000" w:themeColor="text1"/>
          <w:u w:color="000000" w:themeColor="text1"/>
        </w:rPr>
        <w:t>’</w:t>
      </w:r>
      <w:r w:rsidRPr="00F9675C">
        <w:rPr>
          <w:rFonts w:cs="Times New Roman"/>
          <w:color w:val="000000" w:themeColor="text1"/>
          <w:u w:color="000000" w:themeColor="text1"/>
        </w:rPr>
        <w:t>, and any rules or regulations adopted thereunder.</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F9675C">
        <w:rPr>
          <w:rFonts w:cs="Times New Roman"/>
          <w:color w:val="000000" w:themeColor="text1"/>
          <w:u w:color="000000" w:themeColor="text1"/>
        </w:rPr>
        <w:t>Article 5</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F9675C">
        <w:rPr>
          <w:rFonts w:cs="Times New Roman"/>
          <w:color w:val="000000" w:themeColor="text1"/>
          <w:u w:color="000000" w:themeColor="text1"/>
        </w:rPr>
        <w:t>Political Subdivision Divestment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500.</w:t>
      </w:r>
      <w:r w:rsidRPr="00F9675C">
        <w:rPr>
          <w:rFonts w:cs="Times New Roman"/>
          <w:color w:val="000000" w:themeColor="text1"/>
          <w:u w:color="000000" w:themeColor="text1"/>
        </w:rPr>
        <w:tab/>
        <w:t>A person that is identified on a list created pursuant to 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310, as a person engaging in investment activities in Iran as described in 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300 shall be ineligible to contract with any political subdivision of this State, and any contract entered into with a political subdivision of this State shall be void ab initio.</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510.</w:t>
      </w:r>
      <w:r w:rsidRPr="00F9675C">
        <w:rPr>
          <w:rFonts w:cs="Times New Roman"/>
          <w:color w:val="000000" w:themeColor="text1"/>
          <w:u w:color="000000" w:themeColor="text1"/>
        </w:rPr>
        <w:tab/>
        <w:t>(A)</w:t>
      </w:r>
      <w:r w:rsidRPr="00F9675C">
        <w:rPr>
          <w:rFonts w:cs="Times New Roman"/>
          <w:color w:val="000000" w:themeColor="text1"/>
          <w:u w:color="000000" w:themeColor="text1"/>
        </w:rPr>
        <w:tab/>
        <w:t xml:space="preserve">After this act takes effect, every bid or proposal made to a political subdivision of the State or any public department, agency, or official thereof where competitive bidding is required by statute, rule, regulation, or local law, for work or services performed or to be performed or goods sold or to be sold, shall contain the following statement subscribed by the bidder and affirmed by such bidder as true under the penalties of perjury: </w:t>
      </w:r>
      <w:r w:rsidRPr="00716D18">
        <w:rPr>
          <w:rFonts w:cs="Times New Roman"/>
          <w:color w:val="000000" w:themeColor="text1"/>
          <w:u w:color="000000" w:themeColor="text1"/>
        </w:rPr>
        <w:t>‘</w:t>
      </w:r>
      <w:r w:rsidRPr="00F9675C">
        <w:rPr>
          <w:rFonts w:cs="Times New Roman"/>
          <w:color w:val="000000" w:themeColor="text1"/>
          <w:u w:color="000000" w:themeColor="text1"/>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310.</w:t>
      </w:r>
      <w:r w:rsidRPr="00716D18">
        <w:rPr>
          <w:rFonts w:cs="Times New Roman"/>
          <w:color w:val="000000" w:themeColor="text1"/>
          <w:u w:color="000000" w:themeColor="text1"/>
        </w:rPr>
        <w: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(B)</w:t>
      </w:r>
      <w:r w:rsidRPr="00F9675C">
        <w:rPr>
          <w:rFonts w:cs="Times New Roman"/>
          <w:color w:val="000000" w:themeColor="text1"/>
          <w:u w:color="000000" w:themeColor="text1"/>
        </w:rPr>
        <w:tab/>
        <w:t>Notwithstanding subsection (A), the statement of noninvestment in the Iranian energy sector may be submitted electronically.</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(C)</w:t>
      </w:r>
      <w:r w:rsidRPr="00F9675C">
        <w:rPr>
          <w:rFonts w:cs="Times New Roman"/>
          <w:color w:val="000000" w:themeColor="text1"/>
          <w:u w:color="000000" w:themeColor="text1"/>
        </w:rPr>
        <w:tab/>
        <w:t>A bid shall not be considered for award nor shall any award be made where the condition set forth in subsection (A) has not been complied with; provided, however, that if in any case the bidder cannot make the foregoing certification, the bidder shall so state and shall furnish with the bid a signed statement which sets forth in detail the reasons therefor. A political subdivision may award a bid to a bidder who cannot make the certification pursuant to subsection (A), on a case</w:t>
      </w:r>
      <w:r>
        <w:rPr>
          <w:rFonts w:cs="Times New Roman"/>
          <w:color w:val="000000" w:themeColor="text1"/>
          <w:u w:color="000000" w:themeColor="text1"/>
        </w:rPr>
        <w:noBreakHyphen/>
      </w:r>
      <w:r w:rsidRPr="00F9675C">
        <w:rPr>
          <w:rFonts w:cs="Times New Roman"/>
          <w:color w:val="000000" w:themeColor="text1"/>
          <w:u w:color="000000" w:themeColor="text1"/>
        </w:rPr>
        <w:t>by</w:t>
      </w:r>
      <w:r>
        <w:rPr>
          <w:rFonts w:cs="Times New Roman"/>
          <w:color w:val="000000" w:themeColor="text1"/>
          <w:u w:color="000000" w:themeColor="text1"/>
        </w:rPr>
        <w:noBreakHyphen/>
      </w:r>
      <w:r w:rsidRPr="00F9675C">
        <w:rPr>
          <w:rFonts w:cs="Times New Roman"/>
          <w:color w:val="000000" w:themeColor="text1"/>
          <w:u w:color="000000" w:themeColor="text1"/>
        </w:rPr>
        <w:t>case basis, if:</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r>
      <w:r w:rsidRPr="00F9675C">
        <w:rPr>
          <w:rFonts w:cs="Times New Roman"/>
          <w:color w:val="000000" w:themeColor="text1"/>
          <w:u w:color="000000" w:themeColor="text1"/>
        </w:rPr>
        <w:tab/>
        <w:t>(1)</w:t>
      </w:r>
      <w:r w:rsidRPr="00F9675C">
        <w:rPr>
          <w:rFonts w:cs="Times New Roman"/>
          <w:color w:val="000000" w:themeColor="text1"/>
          <w:u w:color="000000" w:themeColor="text1"/>
        </w:rPr>
        <w:tab/>
        <w:t>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r>
      <w:r w:rsidRPr="00F9675C">
        <w:rPr>
          <w:rFonts w:cs="Times New Roman"/>
          <w:color w:val="000000" w:themeColor="text1"/>
          <w:u w:color="000000" w:themeColor="text1"/>
        </w:rPr>
        <w:tab/>
        <w:t>(2)</w:t>
      </w:r>
      <w:r w:rsidRPr="00F9675C">
        <w:rPr>
          <w:rFonts w:cs="Times New Roman"/>
          <w:color w:val="000000" w:themeColor="text1"/>
          <w:u w:color="000000" w:themeColor="text1"/>
        </w:rPr>
        <w:tab/>
        <w:t>the political subdivision makes a determination that the goods or services are necessary for the political subdivision to perform its functions and that, absent such an exemption, the political subdivision would be unable to obtain the goods or services for which the contract is offered. Such determination shall be made in writing and shall be a public document.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F9675C">
        <w:rPr>
          <w:rFonts w:cs="Times New Roman"/>
          <w:color w:val="000000" w:themeColor="text1"/>
          <w:u w:color="000000" w:themeColor="text1"/>
        </w:rPr>
        <w:t>Article 7</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F9675C">
        <w:rPr>
          <w:rFonts w:cs="Times New Roman"/>
          <w:color w:val="000000" w:themeColor="text1"/>
          <w:u w:color="000000" w:themeColor="text1"/>
        </w:rPr>
        <w:t>Prohibition on Iranian Investment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t>57</w:t>
      </w:r>
      <w:r>
        <w:rPr>
          <w:rFonts w:cs="Times New Roman"/>
          <w:color w:val="000000" w:themeColor="text1"/>
          <w:u w:color="000000" w:themeColor="text1"/>
        </w:rPr>
        <w:noBreakHyphen/>
      </w:r>
      <w:r w:rsidRPr="00F9675C">
        <w:rPr>
          <w:rFonts w:cs="Times New Roman"/>
          <w:color w:val="000000" w:themeColor="text1"/>
          <w:u w:color="000000" w:themeColor="text1"/>
        </w:rPr>
        <w:t>700.</w:t>
      </w:r>
      <w:r w:rsidRPr="00F9675C">
        <w:rPr>
          <w:rFonts w:cs="Times New Roman"/>
          <w:color w:val="000000" w:themeColor="text1"/>
          <w:u w:color="000000" w:themeColor="text1"/>
        </w:rPr>
        <w:tab/>
        <w:t>(A)</w:t>
      </w:r>
      <w:r w:rsidRPr="00F9675C">
        <w:rPr>
          <w:rFonts w:cs="Times New Roman"/>
          <w:color w:val="000000" w:themeColor="text1"/>
          <w:u w:color="000000" w:themeColor="text1"/>
        </w:rPr>
        <w:tab/>
        <w:t>Neither the Retirement System Investment Commission or the State Treasurer may invest funds with a person that is identified on a list created pursuant to Section 11</w:t>
      </w:r>
      <w:r>
        <w:rPr>
          <w:rFonts w:cs="Times New Roman"/>
          <w:color w:val="000000" w:themeColor="text1"/>
          <w:u w:color="000000" w:themeColor="text1"/>
        </w:rPr>
        <w:noBreakHyphen/>
        <w:t>57</w:t>
      </w:r>
      <w:r>
        <w:rPr>
          <w:rFonts w:cs="Times New Roman"/>
          <w:color w:val="000000" w:themeColor="text1"/>
          <w:u w:color="000000" w:themeColor="text1"/>
        </w:rPr>
        <w:noBreakHyphen/>
      </w:r>
      <w:r w:rsidRPr="00F9675C">
        <w:rPr>
          <w:rFonts w:cs="Times New Roman"/>
          <w:color w:val="000000" w:themeColor="text1"/>
          <w:u w:color="000000" w:themeColor="text1"/>
        </w:rPr>
        <w:t>310 as a person engaging in investment activities in Iran as described in 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300.</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(B)</w:t>
      </w:r>
      <w:r w:rsidRPr="00F9675C">
        <w:rPr>
          <w:rFonts w:cs="Times New Roman"/>
          <w:color w:val="000000" w:themeColor="text1"/>
          <w:u w:color="000000" w:themeColor="text1"/>
        </w:rPr>
        <w:tab/>
        <w:t>Any existing investments in violation of subsection (A) as of the effective date of this act, must be divested within one hundred twenty days of the effective date of this act.</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t>57</w:t>
      </w:r>
      <w:r>
        <w:rPr>
          <w:rFonts w:cs="Times New Roman"/>
          <w:color w:val="000000" w:themeColor="text1"/>
          <w:u w:color="000000" w:themeColor="text1"/>
        </w:rPr>
        <w:noBreakHyphen/>
      </w:r>
      <w:r w:rsidRPr="00F9675C">
        <w:rPr>
          <w:rFonts w:cs="Times New Roman"/>
          <w:color w:val="000000" w:themeColor="text1"/>
          <w:u w:color="000000" w:themeColor="text1"/>
        </w:rPr>
        <w:t>710.</w:t>
      </w:r>
      <w:r w:rsidRPr="00F9675C">
        <w:rPr>
          <w:rFonts w:cs="Times New Roman"/>
          <w:color w:val="000000" w:themeColor="text1"/>
          <w:u w:color="000000" w:themeColor="text1"/>
        </w:rPr>
        <w:tab/>
        <w:t>Notwithstanding 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700, an investment may be made in a person engaged in investment activities in Iran as described in Section 11</w:t>
      </w:r>
      <w:r>
        <w:rPr>
          <w:rFonts w:cs="Times New Roman"/>
          <w:color w:val="000000" w:themeColor="text1"/>
          <w:u w:color="000000" w:themeColor="text1"/>
        </w:rPr>
        <w:noBreakHyphen/>
      </w:r>
      <w:r w:rsidRPr="00F9675C">
        <w:rPr>
          <w:rFonts w:cs="Times New Roman"/>
          <w:color w:val="000000" w:themeColor="text1"/>
          <w:u w:color="000000" w:themeColor="text1"/>
        </w:rPr>
        <w:t>5</w:t>
      </w:r>
      <w:r>
        <w:rPr>
          <w:rFonts w:cs="Times New Roman"/>
          <w:color w:val="000000" w:themeColor="text1"/>
          <w:u w:color="000000" w:themeColor="text1"/>
        </w:rPr>
        <w:t>7</w:t>
      </w:r>
      <w:r>
        <w:rPr>
          <w:rFonts w:cs="Times New Roman"/>
          <w:color w:val="000000" w:themeColor="text1"/>
          <w:u w:color="000000" w:themeColor="text1"/>
        </w:rPr>
        <w:noBreakHyphen/>
      </w:r>
      <w:r w:rsidRPr="00F9675C">
        <w:rPr>
          <w:rFonts w:cs="Times New Roman"/>
          <w:color w:val="000000" w:themeColor="text1"/>
          <w:u w:color="000000" w:themeColor="text1"/>
        </w:rPr>
        <w:t>300, on a case</w:t>
      </w:r>
      <w:r>
        <w:rPr>
          <w:rFonts w:cs="Times New Roman"/>
          <w:color w:val="000000" w:themeColor="text1"/>
          <w:u w:color="000000" w:themeColor="text1"/>
        </w:rPr>
        <w:noBreakHyphen/>
      </w:r>
      <w:r w:rsidRPr="00F9675C">
        <w:rPr>
          <w:rFonts w:cs="Times New Roman"/>
          <w:color w:val="000000" w:themeColor="text1"/>
          <w:u w:color="000000" w:themeColor="text1"/>
        </w:rPr>
        <w:t>by</w:t>
      </w:r>
      <w:r>
        <w:rPr>
          <w:rFonts w:cs="Times New Roman"/>
          <w:color w:val="000000" w:themeColor="text1"/>
          <w:u w:color="000000" w:themeColor="text1"/>
        </w:rPr>
        <w:noBreakHyphen/>
      </w:r>
      <w:r w:rsidRPr="00F9675C">
        <w:rPr>
          <w:rFonts w:cs="Times New Roman"/>
          <w:color w:val="000000" w:themeColor="text1"/>
          <w:u w:color="000000" w:themeColor="text1"/>
        </w:rPr>
        <w:t>case basis, if:</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(1)</w:t>
      </w:r>
      <w:r w:rsidRPr="00F9675C">
        <w:rPr>
          <w:rFonts w:cs="Times New Roman"/>
          <w:color w:val="000000" w:themeColor="text1"/>
          <w:u w:color="000000" w:themeColor="text1"/>
        </w:rPr>
        <w:tab/>
        <w:t>the investment activities in Iran were made before the effective date of this act, the investment activities in Iran have not been expanded or renewed after the effective date of this act, and the person has adopted, publicized, and is implementing a formal plan to cease the investment activities in Iran and to refrain from engaging in any new investments in Iran; or</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(2)</w:t>
      </w:r>
      <w:r w:rsidRPr="00F9675C">
        <w:rPr>
          <w:rFonts w:cs="Times New Roman"/>
          <w:color w:val="000000" w:themeColor="text1"/>
          <w:u w:color="000000" w:themeColor="text1"/>
        </w:rPr>
        <w:tab/>
        <w:t>the investor makes a determination that the investments are necessary to perform its functions.</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t>57</w:t>
      </w:r>
      <w:r>
        <w:rPr>
          <w:rFonts w:cs="Times New Roman"/>
          <w:color w:val="000000" w:themeColor="text1"/>
          <w:u w:color="000000" w:themeColor="text1"/>
        </w:rPr>
        <w:noBreakHyphen/>
      </w:r>
      <w:r w:rsidRPr="00F9675C">
        <w:rPr>
          <w:rFonts w:cs="Times New Roman"/>
          <w:color w:val="000000" w:themeColor="text1"/>
          <w:u w:color="000000" w:themeColor="text1"/>
        </w:rPr>
        <w:t>720.</w:t>
      </w:r>
      <w:r w:rsidRPr="00F9675C">
        <w:rPr>
          <w:rFonts w:cs="Times New Roman"/>
          <w:color w:val="000000" w:themeColor="text1"/>
          <w:u w:color="000000" w:themeColor="text1"/>
        </w:rPr>
        <w:tab/>
        <w:t xml:space="preserve">Nothing in this article requires the Retirement System Investment Commission or its agents or contract investment managers to take action as described in this article unless it is determined, in good faith, that the action described in this article is consistent with the fiduciary responsibilities of the commission or its agents or contract investment managers as described in Chapter 16, Title 9, and there are appropriated funds of the State to absorb the expenses necessary to implement this article. </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t>57</w:t>
      </w:r>
      <w:r>
        <w:rPr>
          <w:rFonts w:cs="Times New Roman"/>
          <w:color w:val="000000" w:themeColor="text1"/>
          <w:u w:color="000000" w:themeColor="text1"/>
        </w:rPr>
        <w:noBreakHyphen/>
      </w:r>
      <w:r w:rsidRPr="00F9675C">
        <w:rPr>
          <w:rFonts w:cs="Times New Roman"/>
          <w:color w:val="000000" w:themeColor="text1"/>
          <w:u w:color="000000" w:themeColor="text1"/>
        </w:rPr>
        <w:t>730.</w:t>
      </w:r>
      <w:r w:rsidRPr="00F9675C">
        <w:rPr>
          <w:rFonts w:cs="Times New Roman"/>
          <w:color w:val="000000" w:themeColor="text1"/>
          <w:u w:color="000000" w:themeColor="text1"/>
        </w:rPr>
        <w:tab/>
        <w:t>Present, future, and former board members, officers, and employees of the State Budget and Control Board, the Public Employee Benefit Authority, the Retirement System Investment Commission, and contract investment managers and agents retained by the commission, as well as present, future, and former State Treasurers, officers, and employees of the State Treasurer, and contract investment managers and agents retained by the State Treasurer must be indemnified from the General Fund of the State and held harmless by the State from all claims, demands, suits, actions, damages, judgments, costs, charges, and expenses, including court costs and attorney</w:t>
      </w:r>
      <w:r w:rsidRPr="00716D18">
        <w:rPr>
          <w:rFonts w:cs="Times New Roman"/>
          <w:color w:val="000000" w:themeColor="text1"/>
          <w:u w:color="000000" w:themeColor="text1"/>
        </w:rPr>
        <w:t>’</w:t>
      </w:r>
      <w:r w:rsidRPr="00F9675C">
        <w:rPr>
          <w:rFonts w:cs="Times New Roman"/>
          <w:color w:val="000000" w:themeColor="text1"/>
          <w:u w:color="000000" w:themeColor="text1"/>
        </w:rPr>
        <w:t>s fees, and against all liability, losses, and damages of any nature whatsoever that these present, future, or former board members, officers, employees, agents or contract investment managers shall or may at any time sustain by reason of any decision to restrict, reduce, or eliminate investments pursuant to this chapter.</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Section 11</w:t>
      </w:r>
      <w:r>
        <w:rPr>
          <w:rFonts w:cs="Times New Roman"/>
          <w:color w:val="000000" w:themeColor="text1"/>
          <w:u w:color="000000" w:themeColor="text1"/>
        </w:rPr>
        <w:noBreakHyphen/>
        <w:t>57</w:t>
      </w:r>
      <w:r>
        <w:rPr>
          <w:rFonts w:cs="Times New Roman"/>
          <w:color w:val="000000" w:themeColor="text1"/>
          <w:u w:color="000000" w:themeColor="text1"/>
        </w:rPr>
        <w:noBreakHyphen/>
      </w:r>
      <w:r w:rsidRPr="00F9675C">
        <w:rPr>
          <w:rFonts w:cs="Times New Roman"/>
          <w:color w:val="000000" w:themeColor="text1"/>
          <w:u w:color="000000" w:themeColor="text1"/>
        </w:rPr>
        <w:t>740.</w:t>
      </w:r>
      <w:r w:rsidRPr="00F9675C">
        <w:rPr>
          <w:rFonts w:cs="Times New Roman"/>
          <w:color w:val="000000" w:themeColor="text1"/>
          <w:u w:color="000000" w:themeColor="text1"/>
        </w:rPr>
        <w:tab/>
        <w:t>The restrictions provided for in this chapter apply only until:</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(1)</w:t>
      </w:r>
      <w:r w:rsidRPr="00F9675C">
        <w:rPr>
          <w:rFonts w:cs="Times New Roman"/>
          <w:color w:val="000000" w:themeColor="text1"/>
          <w:u w:color="000000" w:themeColor="text1"/>
        </w:rPr>
        <w:tab/>
        <w:t xml:space="preserve">the President or Congress of the United States, by means including, but not limited to, legislation, executive order, or written certification, declares that divestment of the type provided for in this chapter interferes with the conduct of United States foreign policy; or </w:t>
      </w:r>
    </w:p>
    <w:p w:rsidR="00A0749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ab/>
        <w:t>(2)</w:t>
      </w:r>
      <w:r w:rsidRPr="00F9675C">
        <w:rPr>
          <w:rFonts w:cs="Times New Roman"/>
          <w:color w:val="000000" w:themeColor="text1"/>
          <w:u w:color="000000" w:themeColor="text1"/>
        </w:rPr>
        <w:tab/>
        <w:t>the United States revokes its current sanctions against Iran.”</w:t>
      </w:r>
    </w:p>
    <w:p w:rsidR="00A0749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36597F"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Notice to Attorney General of the United States</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SECTION</w:t>
      </w:r>
      <w:r w:rsidRPr="00F9675C">
        <w:rPr>
          <w:rFonts w:cs="Times New Roman"/>
          <w:color w:val="000000" w:themeColor="text1"/>
          <w:u w:color="000000" w:themeColor="text1"/>
        </w:rPr>
        <w:tab/>
        <w:t>2.</w:t>
      </w:r>
      <w:r w:rsidRPr="00F9675C">
        <w:rPr>
          <w:rFonts w:cs="Times New Roman"/>
          <w:color w:val="000000" w:themeColor="text1"/>
          <w:u w:color="000000" w:themeColor="text1"/>
        </w:rPr>
        <w:tab/>
        <w:t>The Secretary of State, in consultation with the South Carolina Attorney General, shall submit to the Attorney General of the United States a written notice describing this act within thirty days after the effective date of this act.</w:t>
      </w:r>
    </w:p>
    <w:p w:rsidR="00A0749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36597F"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Severability</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9675C">
        <w:rPr>
          <w:rFonts w:cs="Times New Roman"/>
          <w:color w:val="000000" w:themeColor="text1"/>
          <w:u w:color="000000" w:themeColor="text1"/>
        </w:rPr>
        <w:t>SECTION</w:t>
      </w:r>
      <w:r w:rsidRPr="00F9675C">
        <w:rPr>
          <w:rFonts w:cs="Times New Roman"/>
          <w:color w:val="000000" w:themeColor="text1"/>
          <w:u w:color="000000" w:themeColor="text1"/>
        </w:rPr>
        <w:tab/>
        <w:t>3.</w:t>
      </w:r>
      <w:r w:rsidRPr="00F9675C">
        <w:rPr>
          <w:rFonts w:cs="Times New Roman"/>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0749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36597F"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0749C" w:rsidRPr="00F9675C" w:rsidRDefault="00A0749C"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9675C">
        <w:rPr>
          <w:rFonts w:cs="Times New Roman"/>
          <w:color w:val="000000" w:themeColor="text1"/>
          <w:u w:color="000000" w:themeColor="text1"/>
        </w:rPr>
        <w:t>SECTION</w:t>
      </w:r>
      <w:r w:rsidRPr="00F9675C">
        <w:rPr>
          <w:rFonts w:cs="Times New Roman"/>
          <w:color w:val="000000" w:themeColor="text1"/>
          <w:u w:color="000000" w:themeColor="text1"/>
        </w:rPr>
        <w:tab/>
        <w:t>4.</w:t>
      </w:r>
      <w:r w:rsidRPr="00F9675C">
        <w:rPr>
          <w:rFonts w:cs="Times New Roman"/>
          <w:color w:val="000000" w:themeColor="text1"/>
          <w:u w:color="000000" w:themeColor="text1"/>
        </w:rPr>
        <w:tab/>
        <w:t>This act takes effect ninety days after approval by the Governor.  However, immediately upon approval by the Governor, any rule or regulation that must be amended or repealed to implement this act is authorized.</w:t>
      </w:r>
    </w:p>
    <w:p w:rsidR="00A0749C" w:rsidRDefault="00A0749C" w:rsidP="00A0749C">
      <w:pPr>
        <w:tabs>
          <w:tab w:val="left" w:pos="1440"/>
          <w:tab w:val="left" w:pos="1800"/>
          <w:tab w:val="left" w:pos="2880"/>
        </w:tabs>
        <w:rPr>
          <w:color w:val="000000" w:themeColor="text1"/>
        </w:rPr>
      </w:pPr>
    </w:p>
    <w:p w:rsidR="00A0749C" w:rsidRDefault="00A0749C" w:rsidP="00A0749C">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A0749C" w:rsidRDefault="00A0749C" w:rsidP="00A0749C">
      <w:pPr>
        <w:tabs>
          <w:tab w:val="left" w:pos="1440"/>
          <w:tab w:val="left" w:pos="1800"/>
          <w:tab w:val="left" w:pos="2880"/>
        </w:tabs>
        <w:rPr>
          <w:color w:val="000000" w:themeColor="text1"/>
        </w:rPr>
      </w:pPr>
    </w:p>
    <w:p w:rsidR="00A0749C" w:rsidRDefault="00A0749C" w:rsidP="00A0749C">
      <w:pPr>
        <w:tabs>
          <w:tab w:val="left" w:pos="1440"/>
          <w:tab w:val="left" w:pos="1800"/>
          <w:tab w:val="left" w:pos="2880"/>
        </w:tabs>
        <w:rPr>
          <w:color w:val="000000" w:themeColor="text1"/>
        </w:rPr>
      </w:pPr>
      <w:r>
        <w:rPr>
          <w:color w:val="000000" w:themeColor="text1"/>
        </w:rPr>
        <w:t>Approved the 9</w:t>
      </w:r>
      <w:r w:rsidRPr="00A33ACD">
        <w:rPr>
          <w:color w:val="000000" w:themeColor="text1"/>
          <w:vertAlign w:val="superscript"/>
        </w:rPr>
        <w:t>th</w:t>
      </w:r>
      <w:r>
        <w:rPr>
          <w:color w:val="000000" w:themeColor="text1"/>
        </w:rPr>
        <w:t xml:space="preserve"> day of June, 2014. </w:t>
      </w:r>
    </w:p>
    <w:p w:rsidR="00A0749C" w:rsidRDefault="00A0749C" w:rsidP="00A0749C">
      <w:pPr>
        <w:tabs>
          <w:tab w:val="left" w:pos="1440"/>
          <w:tab w:val="left" w:pos="1800"/>
          <w:tab w:val="left" w:pos="2880"/>
        </w:tabs>
        <w:jc w:val="center"/>
        <w:rPr>
          <w:color w:val="000000" w:themeColor="text1"/>
        </w:rPr>
      </w:pPr>
    </w:p>
    <w:p w:rsidR="00A0749C" w:rsidRDefault="00A0749C" w:rsidP="00A0749C">
      <w:pPr>
        <w:tabs>
          <w:tab w:val="left" w:pos="1440"/>
          <w:tab w:val="left" w:pos="1800"/>
          <w:tab w:val="left" w:pos="2880"/>
        </w:tabs>
        <w:jc w:val="center"/>
        <w:rPr>
          <w:color w:val="000000" w:themeColor="text1"/>
        </w:rPr>
      </w:pPr>
      <w:r>
        <w:rPr>
          <w:color w:val="000000" w:themeColor="text1"/>
        </w:rPr>
        <w:t>__________</w:t>
      </w:r>
    </w:p>
    <w:p w:rsidR="008836A5" w:rsidRPr="00B94009" w:rsidRDefault="008836A5" w:rsidP="00A074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B94009" w:rsidSect="00DB0C15">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792" w:rsidRDefault="00816792" w:rsidP="007D5FAC">
      <w:r>
        <w:separator/>
      </w:r>
    </w:p>
  </w:endnote>
  <w:endnote w:type="continuationSeparator" w:id="0">
    <w:p w:rsidR="00816792" w:rsidRDefault="0081679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C15" w:rsidRPr="00DB0C15" w:rsidRDefault="00DB0C15" w:rsidP="00DB0C15">
    <w:pPr>
      <w:pStyle w:val="Footer"/>
      <w:tabs>
        <w:tab w:val="clear" w:pos="4680"/>
        <w:tab w:val="clear" w:pos="9360"/>
        <w:tab w:val="center" w:pos="3168"/>
      </w:tabs>
      <w:spacing w:before="120"/>
    </w:pPr>
    <w:r>
      <w:tab/>
    </w:r>
    <w:r w:rsidR="009571CB">
      <w:fldChar w:fldCharType="begin"/>
    </w:r>
    <w:r w:rsidR="009571CB">
      <w:instrText xml:space="preserve"> PAGE  \* MERGEFORMAT </w:instrText>
    </w:r>
    <w:r w:rsidR="009571CB">
      <w:fldChar w:fldCharType="separate"/>
    </w:r>
    <w:r w:rsidR="00180813">
      <w:rPr>
        <w:noProof/>
      </w:rPr>
      <w:t>8</w:t>
    </w:r>
    <w:r w:rsidR="009571C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C15" w:rsidRDefault="00DB0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792" w:rsidRDefault="00816792" w:rsidP="007D5FAC">
      <w:r>
        <w:separator/>
      </w:r>
    </w:p>
  </w:footnote>
  <w:footnote w:type="continuationSeparator" w:id="0">
    <w:p w:rsidR="00816792" w:rsidRDefault="0081679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021"/>
    <w:docVar w:name="ActSecretary" w:val="Morgan"/>
    <w:docVar w:name="ActSIdno" w:val="(270)  3021DG14"/>
    <w:docVar w:name="clipname" w:val="3021DG14"/>
    <w:docVar w:name="dvBillNumber" w:val="3021"/>
    <w:docVar w:name="dvBillNumberPrefix" w:val="H"/>
    <w:docVar w:name="dvOriginalBody" w:val="House"/>
    <w:docVar w:name="HOUSEACTFULLPATH" w:val="L:\COUNCIL\ACTS\3021DG14.DOCX"/>
    <w:docVar w:name="OrigHOUSEBillNo" w:val="3021"/>
    <w:docVar w:name="WhatActtype" w:val="AN ACT"/>
  </w:docVars>
  <w:rsids>
    <w:rsidRoot w:val="0000048F"/>
    <w:rsid w:val="0000048F"/>
    <w:rsid w:val="00002DE0"/>
    <w:rsid w:val="00020349"/>
    <w:rsid w:val="00020977"/>
    <w:rsid w:val="00021B0B"/>
    <w:rsid w:val="000326DB"/>
    <w:rsid w:val="00040C05"/>
    <w:rsid w:val="0004579B"/>
    <w:rsid w:val="00051B4F"/>
    <w:rsid w:val="00057CA9"/>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2B2A"/>
    <w:rsid w:val="001030FE"/>
    <w:rsid w:val="001031AE"/>
    <w:rsid w:val="00103295"/>
    <w:rsid w:val="00103D2E"/>
    <w:rsid w:val="00104519"/>
    <w:rsid w:val="00104919"/>
    <w:rsid w:val="001061C4"/>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0813"/>
    <w:rsid w:val="0018353C"/>
    <w:rsid w:val="00195F4E"/>
    <w:rsid w:val="001A646B"/>
    <w:rsid w:val="001A75A0"/>
    <w:rsid w:val="001B201B"/>
    <w:rsid w:val="001B65B6"/>
    <w:rsid w:val="001B78F9"/>
    <w:rsid w:val="001B7FF5"/>
    <w:rsid w:val="001C2199"/>
    <w:rsid w:val="001C390F"/>
    <w:rsid w:val="001C603D"/>
    <w:rsid w:val="001C6957"/>
    <w:rsid w:val="001D0755"/>
    <w:rsid w:val="001D279C"/>
    <w:rsid w:val="001D6463"/>
    <w:rsid w:val="001D7349"/>
    <w:rsid w:val="001E47D6"/>
    <w:rsid w:val="001F1CCC"/>
    <w:rsid w:val="001F36BF"/>
    <w:rsid w:val="001F729C"/>
    <w:rsid w:val="00200C6E"/>
    <w:rsid w:val="00204492"/>
    <w:rsid w:val="002068E6"/>
    <w:rsid w:val="00206EF4"/>
    <w:rsid w:val="00206FB0"/>
    <w:rsid w:val="002120BF"/>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045C"/>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72B"/>
    <w:rsid w:val="00296B4D"/>
    <w:rsid w:val="002A23CF"/>
    <w:rsid w:val="002A6880"/>
    <w:rsid w:val="002A7F6D"/>
    <w:rsid w:val="002B787D"/>
    <w:rsid w:val="002C079E"/>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388"/>
    <w:rsid w:val="0034356D"/>
    <w:rsid w:val="00350D35"/>
    <w:rsid w:val="00360108"/>
    <w:rsid w:val="00360D70"/>
    <w:rsid w:val="00364D3F"/>
    <w:rsid w:val="0036597F"/>
    <w:rsid w:val="00366494"/>
    <w:rsid w:val="00370DA1"/>
    <w:rsid w:val="00372564"/>
    <w:rsid w:val="00372FF8"/>
    <w:rsid w:val="0038005A"/>
    <w:rsid w:val="0039655A"/>
    <w:rsid w:val="00396C58"/>
    <w:rsid w:val="003A6D96"/>
    <w:rsid w:val="003A7517"/>
    <w:rsid w:val="003B105A"/>
    <w:rsid w:val="003B1A01"/>
    <w:rsid w:val="003B2E6E"/>
    <w:rsid w:val="003B355D"/>
    <w:rsid w:val="003B642E"/>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04D7"/>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0982"/>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3FEB"/>
    <w:rsid w:val="006A4214"/>
    <w:rsid w:val="006A5B40"/>
    <w:rsid w:val="006A65C8"/>
    <w:rsid w:val="006A6F1D"/>
    <w:rsid w:val="006B263A"/>
    <w:rsid w:val="006B4FA6"/>
    <w:rsid w:val="006C2574"/>
    <w:rsid w:val="006C7535"/>
    <w:rsid w:val="006C7D00"/>
    <w:rsid w:val="006E038F"/>
    <w:rsid w:val="006F22C0"/>
    <w:rsid w:val="006F290C"/>
    <w:rsid w:val="006F34D5"/>
    <w:rsid w:val="007009F2"/>
    <w:rsid w:val="00703D30"/>
    <w:rsid w:val="00704FF9"/>
    <w:rsid w:val="007052EC"/>
    <w:rsid w:val="00706B65"/>
    <w:rsid w:val="00716D18"/>
    <w:rsid w:val="007261EE"/>
    <w:rsid w:val="00733A16"/>
    <w:rsid w:val="00733C4C"/>
    <w:rsid w:val="00737039"/>
    <w:rsid w:val="007373C7"/>
    <w:rsid w:val="00740BEB"/>
    <w:rsid w:val="007469F9"/>
    <w:rsid w:val="0074783A"/>
    <w:rsid w:val="007514EF"/>
    <w:rsid w:val="00764AF9"/>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7F14"/>
    <w:rsid w:val="007E19E6"/>
    <w:rsid w:val="007E3A81"/>
    <w:rsid w:val="007F6631"/>
    <w:rsid w:val="007F6D46"/>
    <w:rsid w:val="007F7184"/>
    <w:rsid w:val="00800AD0"/>
    <w:rsid w:val="00805054"/>
    <w:rsid w:val="008066FB"/>
    <w:rsid w:val="00816792"/>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25F2"/>
    <w:rsid w:val="00906538"/>
    <w:rsid w:val="009076FA"/>
    <w:rsid w:val="00916EE8"/>
    <w:rsid w:val="009254E2"/>
    <w:rsid w:val="00926C29"/>
    <w:rsid w:val="00932280"/>
    <w:rsid w:val="00940A90"/>
    <w:rsid w:val="00942F17"/>
    <w:rsid w:val="00953BF7"/>
    <w:rsid w:val="009560AB"/>
    <w:rsid w:val="009571CB"/>
    <w:rsid w:val="009631DC"/>
    <w:rsid w:val="009634D4"/>
    <w:rsid w:val="00966B42"/>
    <w:rsid w:val="00971351"/>
    <w:rsid w:val="0097332E"/>
    <w:rsid w:val="00974FD7"/>
    <w:rsid w:val="00980444"/>
    <w:rsid w:val="00982E93"/>
    <w:rsid w:val="00983D6B"/>
    <w:rsid w:val="00986EBF"/>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49C"/>
    <w:rsid w:val="00A07F7B"/>
    <w:rsid w:val="00A14F94"/>
    <w:rsid w:val="00A23CED"/>
    <w:rsid w:val="00A253D9"/>
    <w:rsid w:val="00A25E64"/>
    <w:rsid w:val="00A26387"/>
    <w:rsid w:val="00A26E23"/>
    <w:rsid w:val="00A3022E"/>
    <w:rsid w:val="00A32D49"/>
    <w:rsid w:val="00A377BB"/>
    <w:rsid w:val="00A46627"/>
    <w:rsid w:val="00A475E8"/>
    <w:rsid w:val="00A61397"/>
    <w:rsid w:val="00A62F8F"/>
    <w:rsid w:val="00A64E80"/>
    <w:rsid w:val="00A73974"/>
    <w:rsid w:val="00A74007"/>
    <w:rsid w:val="00A81E6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1E56"/>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1321"/>
    <w:rsid w:val="00B83DA1"/>
    <w:rsid w:val="00B846E9"/>
    <w:rsid w:val="00B92CEA"/>
    <w:rsid w:val="00B936A9"/>
    <w:rsid w:val="00B94009"/>
    <w:rsid w:val="00BB1593"/>
    <w:rsid w:val="00BB43F6"/>
    <w:rsid w:val="00BB6EF3"/>
    <w:rsid w:val="00BC5FF9"/>
    <w:rsid w:val="00BC6307"/>
    <w:rsid w:val="00BE257D"/>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0C15"/>
    <w:rsid w:val="00DB1297"/>
    <w:rsid w:val="00DC093F"/>
    <w:rsid w:val="00DC5BC6"/>
    <w:rsid w:val="00DC6CFE"/>
    <w:rsid w:val="00DD2595"/>
    <w:rsid w:val="00DD314B"/>
    <w:rsid w:val="00DD3B8D"/>
    <w:rsid w:val="00DD5167"/>
    <w:rsid w:val="00DD557D"/>
    <w:rsid w:val="00DE01AE"/>
    <w:rsid w:val="00DF0E69"/>
    <w:rsid w:val="00E00FC9"/>
    <w:rsid w:val="00E02CA8"/>
    <w:rsid w:val="00E0650C"/>
    <w:rsid w:val="00E06B5E"/>
    <w:rsid w:val="00E076BB"/>
    <w:rsid w:val="00E130FE"/>
    <w:rsid w:val="00E140B1"/>
    <w:rsid w:val="00E14905"/>
    <w:rsid w:val="00E33964"/>
    <w:rsid w:val="00E33DFF"/>
    <w:rsid w:val="00E3462F"/>
    <w:rsid w:val="00E36231"/>
    <w:rsid w:val="00E500F1"/>
    <w:rsid w:val="00E5358E"/>
    <w:rsid w:val="00E60357"/>
    <w:rsid w:val="00E61B4C"/>
    <w:rsid w:val="00E6764C"/>
    <w:rsid w:val="00E71D4E"/>
    <w:rsid w:val="00E757F4"/>
    <w:rsid w:val="00E9303D"/>
    <w:rsid w:val="00EA2A3A"/>
    <w:rsid w:val="00EA77B0"/>
    <w:rsid w:val="00EB18D7"/>
    <w:rsid w:val="00EB223A"/>
    <w:rsid w:val="00EC47CE"/>
    <w:rsid w:val="00EC4D8C"/>
    <w:rsid w:val="00ED4871"/>
    <w:rsid w:val="00EE14AE"/>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01AA"/>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C38E2438-2E53-4F59-88ED-98FC9DC2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B0C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C079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B0C1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E01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1-08-13.docx" TargetMode="External"/><Relationship Id="rId13" Type="http://schemas.openxmlformats.org/officeDocument/2006/relationships/hyperlink" Target="file:///H:\SJ%20Archive\2013\01-31-13.docx" TargetMode="External"/><Relationship Id="rId18" Type="http://schemas.openxmlformats.org/officeDocument/2006/relationships/hyperlink" Target="file:///H:\SJ%20Archive\2014\05-28-14.docx" TargetMode="External"/><Relationship Id="rId26" Type="http://schemas.openxmlformats.org/officeDocument/2006/relationships/hyperlink" Target="file:///p:\pprever\2013-14\3021_20140528.docx" TargetMode="External"/><Relationship Id="rId3" Type="http://schemas.openxmlformats.org/officeDocument/2006/relationships/settings" Target="settings.xml"/><Relationship Id="rId21" Type="http://schemas.openxmlformats.org/officeDocument/2006/relationships/hyperlink" Target="file:///H:\HJ%20Archive\2014\06-03-14.docx" TargetMode="External"/><Relationship Id="rId7" Type="http://schemas.openxmlformats.org/officeDocument/2006/relationships/hyperlink" Target="file:///H:\HJ%20Archive\2013\01-08-13.docx" TargetMode="External"/><Relationship Id="rId12" Type="http://schemas.openxmlformats.org/officeDocument/2006/relationships/hyperlink" Target="file:///H:\HJ%20Archive\2013\01-30-13.docx" TargetMode="External"/><Relationship Id="rId17" Type="http://schemas.openxmlformats.org/officeDocument/2006/relationships/hyperlink" Target="file:///H:\SJ%20Archive\2014\05-28-14.docx" TargetMode="External"/><Relationship Id="rId25" Type="http://schemas.openxmlformats.org/officeDocument/2006/relationships/hyperlink" Target="file:///p:\pprever\2013-14\3021_20140320.docx" TargetMode="External"/><Relationship Id="rId2" Type="http://schemas.openxmlformats.org/officeDocument/2006/relationships/styles" Target="styles.xml"/><Relationship Id="rId16" Type="http://schemas.openxmlformats.org/officeDocument/2006/relationships/hyperlink" Target="file:///H:\SJ%20Archive\2014\05-28-14.docx" TargetMode="External"/><Relationship Id="rId20" Type="http://schemas.openxmlformats.org/officeDocument/2006/relationships/hyperlink" Target="file:///H:\HJ%20Archive\2014\06-03-14.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1-29-13.docx" TargetMode="External"/><Relationship Id="rId24" Type="http://schemas.openxmlformats.org/officeDocument/2006/relationships/hyperlink" Target="file:///p:\pprever\2013-14\3021_20140319.docx" TargetMode="External"/><Relationship Id="rId5" Type="http://schemas.openxmlformats.org/officeDocument/2006/relationships/footnotes" Target="footnotes.xml"/><Relationship Id="rId15" Type="http://schemas.openxmlformats.org/officeDocument/2006/relationships/hyperlink" Target="file:///H:\SJ%20Archive\2014\03-19-14.docx" TargetMode="External"/><Relationship Id="rId23" Type="http://schemas.openxmlformats.org/officeDocument/2006/relationships/hyperlink" Target="file:///p:\pprever\2013-14\3021_20130123.docx" TargetMode="External"/><Relationship Id="rId28" Type="http://schemas.openxmlformats.org/officeDocument/2006/relationships/footer" Target="footer2.xml"/><Relationship Id="rId10" Type="http://schemas.openxmlformats.org/officeDocument/2006/relationships/hyperlink" Target="file:///H:\HJ%20Archive\2013\01-29-13.docx" TargetMode="External"/><Relationship Id="rId19" Type="http://schemas.openxmlformats.org/officeDocument/2006/relationships/hyperlink" Target="file:///H:\SJ%20Archive\2014\05-29-14.docx" TargetMode="External"/><Relationship Id="rId4" Type="http://schemas.openxmlformats.org/officeDocument/2006/relationships/webSettings" Target="webSettings.xml"/><Relationship Id="rId9" Type="http://schemas.openxmlformats.org/officeDocument/2006/relationships/hyperlink" Target="file:///H:\HJ%20Archive\2013\01-23-13.docx" TargetMode="External"/><Relationship Id="rId14" Type="http://schemas.openxmlformats.org/officeDocument/2006/relationships/hyperlink" Target="file:///H:\SJ%20Archive\2013\01-31-13.docx" TargetMode="External"/><Relationship Id="rId22" Type="http://schemas.openxmlformats.org/officeDocument/2006/relationships/hyperlink" Target="file:///p:\pprever\2013-14\3021_20121211.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996AF-FBB7-461E-8A74-903EB3D71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193494D9.dotm</Template>
  <TotalTime>0</TotalTime>
  <Pages>4</Pages>
  <Words>3080</Words>
  <Characters>17561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3021: Iran Divestment Act - South Carolina Legislature Online</dc:title>
  <dc:subject/>
  <dc:creator>angiemorgan</dc:creator>
  <cp:keywords/>
  <dc:description/>
  <cp:lastModifiedBy>N Cumfer</cp:lastModifiedBy>
  <cp:revision>4</cp:revision>
  <cp:lastPrinted>2014-06-03T21:32:00Z</cp:lastPrinted>
  <dcterms:created xsi:type="dcterms:W3CDTF">2014-08-08T13:38:00Z</dcterms:created>
  <dcterms:modified xsi:type="dcterms:W3CDTF">2014-12-05T15:13:00Z</dcterms:modified>
</cp:coreProperties>
</file>